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4F2391" w:rsidRDefault="00F7162D">
      <w:pPr>
        <w:rPr>
          <w:b/>
        </w:rPr>
      </w:pPr>
      <w:r w:rsidRPr="004F2391">
        <w:rPr>
          <w:rFonts w:hint="eastAsia"/>
          <w:b/>
        </w:rPr>
        <w:t>世阿弥研究会</w:t>
      </w:r>
      <w:r w:rsidRPr="004F2391">
        <w:rPr>
          <w:rFonts w:hint="eastAsia"/>
          <w:b/>
        </w:rPr>
        <w:t>1</w:t>
      </w:r>
      <w:r w:rsidRPr="004F2391">
        <w:rPr>
          <w:b/>
        </w:rPr>
        <w:t>8</w:t>
      </w:r>
      <w:r w:rsidRPr="004F2391">
        <w:rPr>
          <w:rFonts w:hint="eastAsia"/>
          <w:b/>
        </w:rPr>
        <w:t>年</w:t>
      </w:r>
      <w:r w:rsidRPr="004F2391">
        <w:rPr>
          <w:rFonts w:hint="eastAsia"/>
          <w:b/>
        </w:rPr>
        <w:t>5</w:t>
      </w:r>
      <w:r w:rsidRPr="004F2391">
        <w:rPr>
          <w:rFonts w:hint="eastAsia"/>
          <w:b/>
        </w:rPr>
        <w:t>月</w:t>
      </w:r>
      <w:r w:rsidRPr="004F2391">
        <w:rPr>
          <w:rFonts w:hint="eastAsia"/>
          <w:b/>
        </w:rPr>
        <w:t>2</w:t>
      </w:r>
      <w:r w:rsidRPr="004F2391">
        <w:rPr>
          <w:b/>
        </w:rPr>
        <w:t>2</w:t>
      </w:r>
      <w:r w:rsidRPr="004F2391">
        <w:rPr>
          <w:rFonts w:hint="eastAsia"/>
          <w:b/>
        </w:rPr>
        <w:t>日</w:t>
      </w:r>
      <w:r w:rsidRPr="004F2391">
        <w:rPr>
          <w:rFonts w:hint="eastAsia"/>
          <w:b/>
        </w:rPr>
        <w:t>(</w:t>
      </w:r>
      <w:r w:rsidRPr="004F2391">
        <w:rPr>
          <w:rFonts w:hint="eastAsia"/>
          <w:b/>
        </w:rPr>
        <w:t>火</w:t>
      </w:r>
      <w:r w:rsidRPr="004F2391">
        <w:rPr>
          <w:b/>
        </w:rPr>
        <w:t>)</w:t>
      </w:r>
      <w:r w:rsidRPr="004F2391">
        <w:rPr>
          <w:rFonts w:hint="eastAsia"/>
          <w:b/>
        </w:rPr>
        <w:t xml:space="preserve">　講読範囲の内容の要旨の報告</w:t>
      </w:r>
    </w:p>
    <w:p w:rsidR="002F3DE1" w:rsidRDefault="002F3DE1">
      <w:pPr>
        <w:rPr>
          <w:sz w:val="18"/>
          <w:szCs w:val="18"/>
          <w:bdr w:val="single" w:sz="4" w:space="0" w:color="auto"/>
        </w:rPr>
      </w:pPr>
    </w:p>
    <w:p w:rsidR="00F7162D" w:rsidRPr="00F7162D" w:rsidRDefault="00F7162D">
      <w:pPr>
        <w:rPr>
          <w:sz w:val="18"/>
          <w:szCs w:val="18"/>
          <w:bdr w:val="single" w:sz="4" w:space="0" w:color="auto"/>
        </w:rPr>
      </w:pPr>
      <w:r w:rsidRPr="00F7162D">
        <w:rPr>
          <w:rFonts w:hint="eastAsia"/>
          <w:sz w:val="18"/>
          <w:szCs w:val="18"/>
          <w:bdr w:val="single" w:sz="4" w:space="0" w:color="auto"/>
        </w:rPr>
        <w:t>目次</w:t>
      </w:r>
    </w:p>
    <w:p w:rsidR="00F7162D" w:rsidRDefault="00F7162D" w:rsidP="002F3DE1">
      <w:pPr>
        <w:tabs>
          <w:tab w:val="right" w:pos="9746"/>
        </w:tabs>
        <w:rPr>
          <w:b/>
          <w:sz w:val="20"/>
          <w:szCs w:val="20"/>
        </w:rPr>
      </w:pPr>
      <w:r w:rsidRPr="00D63C86">
        <w:rPr>
          <w:rFonts w:asciiTheme="majorEastAsia" w:eastAsiaTheme="majorEastAsia" w:hAnsiTheme="majorEastAsia" w:hint="eastAsia"/>
          <w:sz w:val="20"/>
          <w:szCs w:val="20"/>
        </w:rPr>
        <w:t>一、「浅深之事」</w:t>
      </w:r>
      <w:r w:rsidRPr="007D1819">
        <w:rPr>
          <w:rFonts w:asciiTheme="majorEastAsia" w:eastAsiaTheme="majorEastAsia" w:hAnsiTheme="majorEastAsia" w:hint="eastAsia"/>
          <w:sz w:val="20"/>
          <w:szCs w:val="20"/>
        </w:rPr>
        <w:t>(浅深のこと</w:t>
      </w:r>
      <w:r w:rsidRPr="007D1819">
        <w:rPr>
          <w:rFonts w:asciiTheme="majorEastAsia" w:eastAsiaTheme="majorEastAsia" w:hAnsiTheme="majorEastAsia"/>
          <w:sz w:val="20"/>
          <w:szCs w:val="20"/>
        </w:rPr>
        <w:t>)</w:t>
      </w:r>
      <w:r w:rsidR="00D63C86" w:rsidRPr="007D1819">
        <w:rPr>
          <w:rFonts w:asciiTheme="majorEastAsia" w:eastAsiaTheme="majorEastAsia" w:hAnsiTheme="majorEastAsia" w:hint="eastAsia"/>
          <w:sz w:val="20"/>
          <w:szCs w:val="20"/>
        </w:rPr>
        <w:t>「</w:t>
      </w:r>
      <w:r w:rsidRPr="007D1819">
        <w:rPr>
          <w:rFonts w:asciiTheme="majorEastAsia" w:eastAsiaTheme="majorEastAsia" w:hAnsiTheme="majorEastAsia"/>
          <w:sz w:val="20"/>
          <w:szCs w:val="20"/>
        </w:rPr>
        <w:t>213</w:t>
      </w:r>
      <w:r w:rsidRPr="007D1819">
        <w:rPr>
          <w:rFonts w:asciiTheme="majorEastAsia" w:eastAsiaTheme="majorEastAsia" w:hAnsiTheme="majorEastAsia" w:hint="eastAsia"/>
          <w:sz w:val="20"/>
          <w:szCs w:val="20"/>
        </w:rPr>
        <w:t>頁初め～2</w:t>
      </w:r>
      <w:r w:rsidRPr="007D1819">
        <w:rPr>
          <w:rFonts w:asciiTheme="majorEastAsia" w:eastAsiaTheme="majorEastAsia" w:hAnsiTheme="majorEastAsia"/>
          <w:sz w:val="20"/>
          <w:szCs w:val="20"/>
        </w:rPr>
        <w:t>14</w:t>
      </w:r>
      <w:r w:rsidRPr="007D1819">
        <w:rPr>
          <w:rFonts w:asciiTheme="majorEastAsia" w:eastAsiaTheme="majorEastAsia" w:hAnsiTheme="majorEastAsia" w:hint="eastAsia"/>
          <w:sz w:val="20"/>
          <w:szCs w:val="20"/>
        </w:rPr>
        <w:t>頁初め</w:t>
      </w:r>
      <w:r w:rsidR="00D63C86" w:rsidRPr="007D1819">
        <w:rPr>
          <w:rFonts w:asciiTheme="majorEastAsia" w:eastAsiaTheme="majorEastAsia" w:hAnsiTheme="majorEastAsia" w:hint="eastAsia"/>
          <w:sz w:val="20"/>
          <w:szCs w:val="20"/>
        </w:rPr>
        <w:t>」</w:t>
      </w:r>
      <w:r w:rsidR="002F3DE1">
        <w:rPr>
          <w:b/>
          <w:sz w:val="20"/>
          <w:szCs w:val="20"/>
        </w:rPr>
        <w:tab/>
      </w:r>
      <w:r w:rsidR="002F3DE1" w:rsidRPr="00C64791">
        <w:rPr>
          <w:sz w:val="18"/>
          <w:szCs w:val="18"/>
        </w:rPr>
        <w:t>1</w:t>
      </w:r>
      <w:r w:rsidR="002F3DE1" w:rsidRPr="00C64791">
        <w:rPr>
          <w:rFonts w:hint="eastAsia"/>
          <w:sz w:val="18"/>
          <w:szCs w:val="18"/>
        </w:rPr>
        <w:t>頁</w:t>
      </w:r>
    </w:p>
    <w:p w:rsidR="00413BF9" w:rsidRPr="00190516" w:rsidRDefault="00413BF9" w:rsidP="002F3DE1">
      <w:pPr>
        <w:tabs>
          <w:tab w:val="right" w:pos="9746"/>
        </w:tabs>
        <w:rPr>
          <w:rFonts w:eastAsiaTheme="majorEastAsia"/>
          <w:sz w:val="20"/>
          <w:szCs w:val="20"/>
        </w:rPr>
      </w:pPr>
      <w:bookmarkStart w:id="0" w:name="_Hlk515998019"/>
      <w:r w:rsidRPr="00413BF9">
        <w:rPr>
          <w:rFonts w:asciiTheme="majorEastAsia" w:eastAsiaTheme="majorEastAsia" w:hAnsiTheme="majorEastAsia" w:hint="eastAsia"/>
          <w:sz w:val="20"/>
          <w:szCs w:val="20"/>
        </w:rPr>
        <w:t>二、感想および考察と次回の予定</w:t>
      </w:r>
      <w:r w:rsidR="002F3DE1">
        <w:rPr>
          <w:rFonts w:asciiTheme="majorEastAsia" w:eastAsiaTheme="majorEastAsia" w:hAnsiTheme="majorEastAsia"/>
          <w:sz w:val="20"/>
          <w:szCs w:val="20"/>
        </w:rPr>
        <w:tab/>
      </w:r>
      <w:r w:rsidR="002F3DE1" w:rsidRPr="00C64791">
        <w:rPr>
          <w:rFonts w:eastAsiaTheme="majorEastAsia"/>
          <w:sz w:val="18"/>
          <w:szCs w:val="18"/>
        </w:rPr>
        <w:t>1</w:t>
      </w:r>
      <w:r w:rsidR="002F3DE1" w:rsidRPr="00C64791">
        <w:rPr>
          <w:rFonts w:eastAsiaTheme="majorEastAsia"/>
          <w:sz w:val="18"/>
          <w:szCs w:val="18"/>
        </w:rPr>
        <w:t>～</w:t>
      </w:r>
      <w:r w:rsidR="002F3DE1" w:rsidRPr="00C64791">
        <w:rPr>
          <w:rFonts w:eastAsiaTheme="majorEastAsia"/>
          <w:sz w:val="18"/>
          <w:szCs w:val="18"/>
        </w:rPr>
        <w:t>2</w:t>
      </w:r>
      <w:r w:rsidR="002F3DE1" w:rsidRPr="00190516">
        <w:rPr>
          <w:rFonts w:asciiTheme="minorEastAsia" w:hAnsiTheme="minorEastAsia"/>
          <w:sz w:val="18"/>
          <w:szCs w:val="18"/>
        </w:rPr>
        <w:t>頁</w:t>
      </w:r>
    </w:p>
    <w:p w:rsidR="00F7162D" w:rsidRDefault="00F7162D" w:rsidP="002F3DE1">
      <w:pPr>
        <w:tabs>
          <w:tab w:val="right" w:pos="9746"/>
        </w:tabs>
        <w:rPr>
          <w:sz w:val="18"/>
          <w:szCs w:val="18"/>
        </w:rPr>
      </w:pPr>
      <w:bookmarkStart w:id="1" w:name="_Hlk515374043"/>
      <w:bookmarkEnd w:id="0"/>
      <w:r w:rsidRPr="00F7162D">
        <w:rPr>
          <w:rFonts w:hint="eastAsia"/>
          <w:sz w:val="18"/>
          <w:szCs w:val="18"/>
        </w:rPr>
        <w:t>参考文献</w:t>
      </w:r>
      <w:r w:rsidR="002F3DE1">
        <w:rPr>
          <w:sz w:val="18"/>
          <w:szCs w:val="18"/>
        </w:rPr>
        <w:tab/>
        <w:t>2</w:t>
      </w:r>
      <w:r w:rsidR="002F3DE1">
        <w:rPr>
          <w:rFonts w:hint="eastAsia"/>
          <w:sz w:val="18"/>
          <w:szCs w:val="18"/>
        </w:rPr>
        <w:t>頁</w:t>
      </w:r>
    </w:p>
    <w:bookmarkEnd w:id="1"/>
    <w:p w:rsidR="00F7162D" w:rsidRDefault="00F7162D">
      <w:pPr>
        <w:rPr>
          <w:sz w:val="18"/>
          <w:szCs w:val="18"/>
        </w:rPr>
      </w:pPr>
    </w:p>
    <w:p w:rsidR="00F7162D" w:rsidRDefault="00F7162D" w:rsidP="00F7162D">
      <w:pPr>
        <w:rPr>
          <w:b/>
          <w:sz w:val="20"/>
          <w:szCs w:val="20"/>
        </w:rPr>
      </w:pPr>
      <w:r w:rsidRPr="00F7162D">
        <w:rPr>
          <w:rFonts w:hint="eastAsia"/>
          <w:b/>
          <w:sz w:val="20"/>
          <w:szCs w:val="20"/>
        </w:rPr>
        <w:t>一、「浅深之事」</w:t>
      </w:r>
      <w:r w:rsidR="00D63C86" w:rsidRPr="00D63C86">
        <w:rPr>
          <w:rFonts w:hint="eastAsia"/>
          <w:sz w:val="20"/>
          <w:szCs w:val="20"/>
        </w:rPr>
        <w:t>(</w:t>
      </w:r>
      <w:r w:rsidRPr="00F7162D">
        <w:rPr>
          <w:rFonts w:hint="eastAsia"/>
          <w:b/>
          <w:sz w:val="20"/>
          <w:szCs w:val="20"/>
        </w:rPr>
        <w:t>浅深のこと</w:t>
      </w:r>
      <w:r w:rsidRPr="00F7162D">
        <w:rPr>
          <w:b/>
          <w:sz w:val="20"/>
          <w:szCs w:val="20"/>
        </w:rPr>
        <w:t>)</w:t>
      </w:r>
      <w:r w:rsidR="00D63C86">
        <w:rPr>
          <w:rFonts w:hint="eastAsia"/>
          <w:b/>
          <w:sz w:val="20"/>
          <w:szCs w:val="20"/>
        </w:rPr>
        <w:t>「</w:t>
      </w:r>
      <w:r w:rsidRPr="00F7162D">
        <w:rPr>
          <w:b/>
          <w:sz w:val="20"/>
          <w:szCs w:val="20"/>
        </w:rPr>
        <w:t>213</w:t>
      </w:r>
      <w:r w:rsidRPr="00F7162D">
        <w:rPr>
          <w:rFonts w:hint="eastAsia"/>
          <w:b/>
          <w:sz w:val="20"/>
          <w:szCs w:val="20"/>
        </w:rPr>
        <w:t>頁初め～</w:t>
      </w:r>
      <w:r w:rsidRPr="00F7162D">
        <w:rPr>
          <w:rFonts w:hint="eastAsia"/>
          <w:b/>
          <w:sz w:val="20"/>
          <w:szCs w:val="20"/>
        </w:rPr>
        <w:t>2</w:t>
      </w:r>
      <w:r w:rsidRPr="00F7162D">
        <w:rPr>
          <w:b/>
          <w:sz w:val="20"/>
          <w:szCs w:val="20"/>
        </w:rPr>
        <w:t>14</w:t>
      </w:r>
      <w:r w:rsidRPr="00F7162D">
        <w:rPr>
          <w:rFonts w:hint="eastAsia"/>
          <w:b/>
          <w:sz w:val="20"/>
          <w:szCs w:val="20"/>
        </w:rPr>
        <w:t>頁初め</w:t>
      </w:r>
      <w:r w:rsidR="00D63C86">
        <w:rPr>
          <w:rFonts w:hint="eastAsia"/>
          <w:b/>
          <w:sz w:val="20"/>
          <w:szCs w:val="20"/>
        </w:rPr>
        <w:t>」</w:t>
      </w:r>
    </w:p>
    <w:p w:rsidR="00D63C86" w:rsidRPr="00F7162D" w:rsidRDefault="00D63C86" w:rsidP="00F7162D">
      <w:pPr>
        <w:rPr>
          <w:b/>
          <w:sz w:val="20"/>
          <w:szCs w:val="20"/>
        </w:rPr>
      </w:pPr>
    </w:p>
    <w:p w:rsidR="00F7162D" w:rsidRPr="000702AF" w:rsidRDefault="00F7162D" w:rsidP="00F7162D">
      <w:pPr>
        <w:ind w:firstLineChars="100" w:firstLine="210"/>
        <w:rPr>
          <w:szCs w:val="21"/>
        </w:rPr>
      </w:pPr>
      <w:r w:rsidRPr="000702AF">
        <w:rPr>
          <w:rFonts w:hint="eastAsia"/>
          <w:szCs w:val="21"/>
        </w:rPr>
        <w:t>ここは、</w:t>
      </w:r>
      <w:bookmarkStart w:id="2" w:name="_Hlk516499008"/>
      <w:r w:rsidRPr="000702AF">
        <w:rPr>
          <w:rFonts w:hint="eastAsia"/>
          <w:szCs w:val="21"/>
        </w:rPr>
        <w:t>能における謡・舞・所作やそのほかの万事に</w:t>
      </w:r>
      <w:bookmarkEnd w:id="2"/>
      <w:r w:rsidRPr="000702AF">
        <w:rPr>
          <w:rFonts w:hint="eastAsia"/>
          <w:szCs w:val="21"/>
        </w:rPr>
        <w:t>わたって</w:t>
      </w:r>
      <w:r w:rsidR="00CB2EBA" w:rsidRPr="000702AF">
        <w:rPr>
          <w:rFonts w:hint="eastAsia"/>
          <w:szCs w:val="21"/>
        </w:rPr>
        <w:t>しぐさの大小について</w:t>
      </w:r>
      <w:r w:rsidR="000702AF">
        <w:rPr>
          <w:rFonts w:hint="eastAsia"/>
          <w:szCs w:val="21"/>
        </w:rPr>
        <w:t>の</w:t>
      </w:r>
      <w:r w:rsidR="00D63C86">
        <w:rPr>
          <w:rFonts w:hint="eastAsia"/>
          <w:szCs w:val="21"/>
        </w:rPr>
        <w:t>教えが説かれている</w:t>
      </w:r>
      <w:r w:rsidR="000702AF">
        <w:rPr>
          <w:rFonts w:hint="eastAsia"/>
          <w:szCs w:val="21"/>
        </w:rPr>
        <w:t>ところです</w:t>
      </w:r>
      <w:r w:rsidR="00CB2EBA" w:rsidRPr="000702AF">
        <w:rPr>
          <w:rFonts w:hint="eastAsia"/>
          <w:szCs w:val="21"/>
        </w:rPr>
        <w:t>。</w:t>
      </w:r>
    </w:p>
    <w:p w:rsidR="00EC538D" w:rsidRDefault="00CB2EBA" w:rsidP="00EC538D">
      <w:pPr>
        <w:ind w:firstLineChars="100" w:firstLine="210"/>
        <w:rPr>
          <w:szCs w:val="21"/>
        </w:rPr>
      </w:pPr>
      <w:r w:rsidRPr="000702AF">
        <w:rPr>
          <w:rFonts w:hint="eastAsia"/>
          <w:szCs w:val="21"/>
        </w:rPr>
        <w:t>しぐさが細かくないと能はおもしろくないし、だからといって</w:t>
      </w:r>
      <w:r w:rsidR="00EC538D">
        <w:rPr>
          <w:rFonts w:hint="eastAsia"/>
          <w:szCs w:val="21"/>
        </w:rPr>
        <w:t>細かとばかりに心がけていると芸の幅が小さく見える傾きがあって、</w:t>
      </w:r>
      <w:r w:rsidRPr="000702AF">
        <w:rPr>
          <w:rFonts w:hint="eastAsia"/>
          <w:szCs w:val="21"/>
        </w:rPr>
        <w:t>反対にしぐさ</w:t>
      </w:r>
      <w:r w:rsidR="000702AF">
        <w:rPr>
          <w:rFonts w:hint="eastAsia"/>
          <w:szCs w:val="21"/>
        </w:rPr>
        <w:t>を</w:t>
      </w:r>
      <w:r w:rsidR="00EC538D">
        <w:rPr>
          <w:rFonts w:hint="eastAsia"/>
          <w:szCs w:val="21"/>
        </w:rPr>
        <w:t>大まかにと心がけてやると観どころの少な</w:t>
      </w:r>
      <w:r w:rsidR="00CC3DF7">
        <w:rPr>
          <w:rFonts w:hint="eastAsia"/>
          <w:szCs w:val="21"/>
        </w:rPr>
        <w:t>くなって、</w:t>
      </w:r>
      <w:r w:rsidR="00EC538D">
        <w:rPr>
          <w:rFonts w:hint="eastAsia"/>
          <w:szCs w:val="21"/>
        </w:rPr>
        <w:t>のそりとしたものになってしまうことが語られてあります。</w:t>
      </w:r>
    </w:p>
    <w:p w:rsidR="00EC538D" w:rsidRDefault="00EC538D" w:rsidP="00571020">
      <w:pPr>
        <w:ind w:firstLineChars="100" w:firstLine="210"/>
        <w:rPr>
          <w:szCs w:val="21"/>
        </w:rPr>
      </w:pPr>
      <w:r>
        <w:rPr>
          <w:rFonts w:hint="eastAsia"/>
          <w:szCs w:val="21"/>
        </w:rPr>
        <w:t>そこで</w:t>
      </w:r>
      <w:r w:rsidR="00571020">
        <w:rPr>
          <w:rFonts w:hint="eastAsia"/>
          <w:szCs w:val="21"/>
        </w:rPr>
        <w:t>演能においては、</w:t>
      </w:r>
      <w:r>
        <w:rPr>
          <w:rFonts w:hint="eastAsia"/>
          <w:szCs w:val="21"/>
        </w:rPr>
        <w:t>細やかにやるべきところはたっぷりと細やかに演じ、大ように演ずべきところは大ようにゆくべきであり、この識別をするためには、特に能というものを知っていなければならず、この点をよくよく師匠について明らかにすべきだということが示されます。</w:t>
      </w:r>
    </w:p>
    <w:p w:rsidR="00EC538D" w:rsidRPr="00EC538D" w:rsidRDefault="00CC3DF7" w:rsidP="00EC538D">
      <w:pPr>
        <w:ind w:firstLineChars="100" w:firstLine="210"/>
        <w:rPr>
          <w:szCs w:val="21"/>
        </w:rPr>
      </w:pPr>
      <w:r w:rsidRPr="00CC3DF7">
        <w:rPr>
          <w:rFonts w:hint="eastAsia"/>
          <w:szCs w:val="21"/>
        </w:rPr>
        <w:t>その要点は「心のはたらきを細やかにして、しぐさ</w:t>
      </w:r>
      <w:r w:rsidRPr="00CA3B5C">
        <w:rPr>
          <w:rFonts w:hint="eastAsia"/>
          <w:sz w:val="18"/>
          <w:szCs w:val="18"/>
        </w:rPr>
        <w:t>(</w:t>
      </w:r>
      <w:r w:rsidRPr="00CA3B5C">
        <w:rPr>
          <w:rFonts w:hint="eastAsia"/>
          <w:sz w:val="18"/>
          <w:szCs w:val="18"/>
        </w:rPr>
        <w:t>身体</w:t>
      </w:r>
      <w:r w:rsidRPr="00CA3B5C">
        <w:rPr>
          <w:rFonts w:hint="eastAsia"/>
          <w:sz w:val="18"/>
          <w:szCs w:val="18"/>
        </w:rPr>
        <w:t>)</w:t>
      </w:r>
      <w:r w:rsidRPr="00CC3DF7">
        <w:rPr>
          <w:rFonts w:hint="eastAsia"/>
          <w:szCs w:val="21"/>
        </w:rPr>
        <w:t>のはたらきを大まかにする」ということにあ</w:t>
      </w:r>
      <w:r>
        <w:rPr>
          <w:rFonts w:hint="eastAsia"/>
          <w:szCs w:val="21"/>
        </w:rPr>
        <w:t>るので</w:t>
      </w:r>
      <w:r w:rsidRPr="00CC3DF7">
        <w:rPr>
          <w:rFonts w:hint="eastAsia"/>
          <w:szCs w:val="21"/>
        </w:rPr>
        <w:t>、</w:t>
      </w:r>
      <w:r>
        <w:rPr>
          <w:rFonts w:hint="eastAsia"/>
          <w:szCs w:val="21"/>
        </w:rPr>
        <w:t>二曲、振、風情、万につけてこの点をよく注意して、いつも心にとめていなくてはならないということでありました。</w:t>
      </w:r>
    </w:p>
    <w:p w:rsidR="00EC538D" w:rsidRDefault="00CA3B5C" w:rsidP="00EC538D">
      <w:pPr>
        <w:ind w:firstLineChars="100" w:firstLine="210"/>
        <w:rPr>
          <w:szCs w:val="21"/>
        </w:rPr>
      </w:pPr>
      <w:r>
        <w:rPr>
          <w:rFonts w:hint="eastAsia"/>
          <w:szCs w:val="21"/>
        </w:rPr>
        <w:t>その上で能というものは、大まかな規範</w:t>
      </w:r>
      <w:r w:rsidRPr="00CA3B5C">
        <w:rPr>
          <w:rFonts w:hint="eastAsia"/>
          <w:sz w:val="18"/>
          <w:szCs w:val="18"/>
        </w:rPr>
        <w:t>(</w:t>
      </w:r>
      <w:r w:rsidRPr="00CA3B5C">
        <w:rPr>
          <w:rFonts w:hint="eastAsia"/>
          <w:sz w:val="18"/>
          <w:szCs w:val="18"/>
        </w:rPr>
        <w:t>大きなる形木</w:t>
      </w:r>
      <w:r w:rsidRPr="00CA3B5C">
        <w:rPr>
          <w:sz w:val="18"/>
          <w:szCs w:val="18"/>
        </w:rPr>
        <w:t>)</w:t>
      </w:r>
      <w:r>
        <w:rPr>
          <w:rFonts w:hint="eastAsia"/>
          <w:szCs w:val="21"/>
        </w:rPr>
        <w:t>から入った芸は、心がけひとつで細かな方面にも展開することができるが、小さい規範</w:t>
      </w:r>
      <w:r w:rsidRPr="00CA3B5C">
        <w:rPr>
          <w:rFonts w:hint="eastAsia"/>
          <w:sz w:val="18"/>
          <w:szCs w:val="18"/>
        </w:rPr>
        <w:t>(</w:t>
      </w:r>
      <w:r w:rsidRPr="00CA3B5C">
        <w:rPr>
          <w:rFonts w:hint="eastAsia"/>
          <w:sz w:val="18"/>
          <w:szCs w:val="18"/>
        </w:rPr>
        <w:t>小さき形木</w:t>
      </w:r>
      <w:r w:rsidRPr="00CA3B5C">
        <w:rPr>
          <w:sz w:val="18"/>
          <w:szCs w:val="18"/>
        </w:rPr>
        <w:t>)</w:t>
      </w:r>
      <w:r>
        <w:rPr>
          <w:rFonts w:hint="eastAsia"/>
          <w:szCs w:val="21"/>
        </w:rPr>
        <w:t>から習っていった芸は、大ような芸風にはちょっと進めないものであるということを「大のうちに小はあるが、小のうちに大はありえない」</w:t>
      </w:r>
      <w:r w:rsidR="00D16741">
        <w:rPr>
          <w:rFonts w:hint="eastAsia"/>
          <w:szCs w:val="21"/>
        </w:rPr>
        <w:t>ということでまとめ、大小の両方を兼ねて自由に両者をこなしてゆくのは、本当に広い芸なのであるということを述べています。</w:t>
      </w:r>
    </w:p>
    <w:p w:rsidR="00571020" w:rsidRPr="00571020" w:rsidRDefault="00571020" w:rsidP="00571020">
      <w:pPr>
        <w:ind w:firstLineChars="100" w:firstLine="210"/>
        <w:rPr>
          <w:szCs w:val="21"/>
        </w:rPr>
      </w:pPr>
      <w:r>
        <w:rPr>
          <w:rFonts w:hint="eastAsia"/>
          <w:szCs w:val="21"/>
        </w:rPr>
        <w:t>また</w:t>
      </w:r>
      <w:r w:rsidRPr="00571020">
        <w:rPr>
          <w:rFonts w:hint="eastAsia"/>
          <w:szCs w:val="21"/>
        </w:rPr>
        <w:t>「大寒には氷結と氷解とがあるが、小寒には氷結だけだ」という</w:t>
      </w:r>
      <w:r w:rsidR="00C24C1C">
        <w:rPr>
          <w:rFonts w:hint="eastAsia"/>
          <w:szCs w:val="21"/>
        </w:rPr>
        <w:t>た</w:t>
      </w:r>
      <w:r w:rsidRPr="00571020">
        <w:rPr>
          <w:rFonts w:hint="eastAsia"/>
          <w:szCs w:val="21"/>
        </w:rPr>
        <w:t>とえを引用しつつ説いています。なお、「小寒の氷大寒に解く」とは、寒さの最も厳しいはずの大寒が小寒よりも暖かなことで、物事がかならずしも順序どおりにいかないことのたとえです</w:t>
      </w:r>
      <w:bookmarkStart w:id="3" w:name="_Hlk515997286"/>
      <w:r w:rsidRPr="009F5BA3">
        <w:rPr>
          <w:rFonts w:hint="eastAsia"/>
          <w:sz w:val="20"/>
          <w:szCs w:val="20"/>
        </w:rPr>
        <w:t>(</w:t>
      </w:r>
      <w:r w:rsidRPr="009F5BA3">
        <w:rPr>
          <w:rFonts w:hint="eastAsia"/>
          <w:sz w:val="20"/>
          <w:szCs w:val="20"/>
        </w:rPr>
        <w:t>松村明編『大辞林第三版』三省堂</w:t>
      </w:r>
      <w:r w:rsidRPr="009F5BA3">
        <w:rPr>
          <w:rFonts w:hint="eastAsia"/>
          <w:sz w:val="20"/>
          <w:szCs w:val="20"/>
        </w:rPr>
        <w:t>,2006</w:t>
      </w:r>
      <w:r w:rsidR="0046555A">
        <w:rPr>
          <w:sz w:val="20"/>
          <w:szCs w:val="20"/>
        </w:rPr>
        <w:t xml:space="preserve">, </w:t>
      </w:r>
      <w:r w:rsidRPr="009F5BA3">
        <w:rPr>
          <w:rFonts w:hint="eastAsia"/>
          <w:sz w:val="20"/>
          <w:szCs w:val="20"/>
        </w:rPr>
        <w:t>p.1221.)</w:t>
      </w:r>
      <w:bookmarkEnd w:id="3"/>
      <w:r w:rsidRPr="00571020">
        <w:rPr>
          <w:rFonts w:hint="eastAsia"/>
          <w:szCs w:val="21"/>
        </w:rPr>
        <w:t>。</w:t>
      </w:r>
    </w:p>
    <w:p w:rsidR="00D16741" w:rsidRDefault="00571020" w:rsidP="00571020">
      <w:pPr>
        <w:ind w:firstLineChars="100" w:firstLine="210"/>
        <w:rPr>
          <w:szCs w:val="21"/>
        </w:rPr>
      </w:pPr>
      <w:r w:rsidRPr="00571020">
        <w:rPr>
          <w:rFonts w:hint="eastAsia"/>
          <w:szCs w:val="21"/>
        </w:rPr>
        <w:t>また「形木」というのは、世阿弥の用語で、「刑木」とも書き、基準となる型または模範となる演じ方のことです</w:t>
      </w:r>
      <w:bookmarkStart w:id="4" w:name="_Hlk515997318"/>
      <w:r w:rsidRPr="002F3DE1">
        <w:rPr>
          <w:rFonts w:hint="eastAsia"/>
          <w:sz w:val="18"/>
          <w:szCs w:val="18"/>
        </w:rPr>
        <w:t>(</w:t>
      </w:r>
      <w:r w:rsidRPr="002F3DE1">
        <w:rPr>
          <w:rFonts w:hint="eastAsia"/>
          <w:sz w:val="18"/>
          <w:szCs w:val="18"/>
        </w:rPr>
        <w:t>小林責、西哲生、羽田昶著『能楽大事典』筑摩書房</w:t>
      </w:r>
      <w:r w:rsidRPr="002F3DE1">
        <w:rPr>
          <w:rFonts w:hint="eastAsia"/>
          <w:sz w:val="18"/>
          <w:szCs w:val="18"/>
        </w:rPr>
        <w:t>,2012,p.190.)</w:t>
      </w:r>
      <w:bookmarkEnd w:id="4"/>
      <w:r w:rsidR="00C24C1C">
        <w:rPr>
          <w:rFonts w:hint="eastAsia"/>
          <w:szCs w:val="21"/>
        </w:rPr>
        <w:t>。</w:t>
      </w:r>
    </w:p>
    <w:p w:rsidR="00EC538D" w:rsidRDefault="00EC538D" w:rsidP="009F5BA3">
      <w:pPr>
        <w:rPr>
          <w:szCs w:val="21"/>
        </w:rPr>
      </w:pPr>
    </w:p>
    <w:p w:rsidR="00CC40F9" w:rsidRPr="002F3DE1" w:rsidRDefault="00317CC5" w:rsidP="008B5B8A">
      <w:pPr>
        <w:rPr>
          <w:b/>
          <w:sz w:val="20"/>
          <w:szCs w:val="20"/>
        </w:rPr>
      </w:pPr>
      <w:r w:rsidRPr="002F3DE1">
        <w:rPr>
          <w:rFonts w:hint="eastAsia"/>
          <w:b/>
          <w:sz w:val="20"/>
          <w:szCs w:val="20"/>
        </w:rPr>
        <w:t>二、感想および考察と次回の予定</w:t>
      </w:r>
    </w:p>
    <w:p w:rsidR="00390690" w:rsidRDefault="00390690" w:rsidP="008B5B8A">
      <w:pPr>
        <w:rPr>
          <w:sz w:val="18"/>
          <w:szCs w:val="18"/>
        </w:rPr>
      </w:pPr>
    </w:p>
    <w:p w:rsidR="002F3DE1" w:rsidRPr="002F3DE1" w:rsidRDefault="002F3DE1" w:rsidP="002F3DE1">
      <w:pPr>
        <w:tabs>
          <w:tab w:val="left" w:pos="2340"/>
        </w:tabs>
      </w:pPr>
      <w:r w:rsidRPr="002F3DE1">
        <w:rPr>
          <w:rFonts w:hint="eastAsia"/>
        </w:rPr>
        <w:t>①</w:t>
      </w:r>
      <w:r w:rsidRPr="002F3DE1">
        <w:rPr>
          <w:rFonts w:hint="eastAsia"/>
        </w:rPr>
        <w:t xml:space="preserve"> 5</w:t>
      </w:r>
      <w:r w:rsidRPr="002F3DE1">
        <w:rPr>
          <w:rFonts w:hint="eastAsia"/>
        </w:rPr>
        <w:t>月の世阿弥研究会では『世阿弥能楽論集』「花鏡」から「浅深之事」</w:t>
      </w:r>
      <w:r w:rsidRPr="002F3DE1">
        <w:rPr>
          <w:rFonts w:hint="eastAsia"/>
        </w:rPr>
        <w:t>(</w:t>
      </w:r>
      <w:r w:rsidRPr="002F3DE1">
        <w:rPr>
          <w:rFonts w:hint="eastAsia"/>
        </w:rPr>
        <w:t>浅深のこと</w:t>
      </w:r>
      <w:r w:rsidRPr="002F3DE1">
        <w:rPr>
          <w:rFonts w:hint="eastAsia"/>
        </w:rPr>
        <w:t xml:space="preserve">) </w:t>
      </w:r>
      <w:r w:rsidRPr="002F3DE1">
        <w:rPr>
          <w:rFonts w:hint="eastAsia"/>
          <w:sz w:val="18"/>
          <w:szCs w:val="18"/>
        </w:rPr>
        <w:t>(213</w:t>
      </w:r>
      <w:r w:rsidRPr="002F3DE1">
        <w:rPr>
          <w:rFonts w:hint="eastAsia"/>
          <w:sz w:val="18"/>
          <w:szCs w:val="18"/>
        </w:rPr>
        <w:t>頁初め～</w:t>
      </w:r>
      <w:r w:rsidRPr="002F3DE1">
        <w:rPr>
          <w:rFonts w:hint="eastAsia"/>
          <w:sz w:val="18"/>
          <w:szCs w:val="18"/>
        </w:rPr>
        <w:t>214</w:t>
      </w:r>
      <w:r w:rsidRPr="002F3DE1">
        <w:rPr>
          <w:rFonts w:hint="eastAsia"/>
          <w:sz w:val="18"/>
          <w:szCs w:val="18"/>
        </w:rPr>
        <w:t>頁</w:t>
      </w:r>
      <w:r w:rsidRPr="002F3DE1">
        <w:rPr>
          <w:rFonts w:hint="eastAsia"/>
          <w:sz w:val="18"/>
          <w:szCs w:val="18"/>
        </w:rPr>
        <w:t>1</w:t>
      </w:r>
      <w:r w:rsidRPr="002F3DE1">
        <w:rPr>
          <w:rFonts w:hint="eastAsia"/>
          <w:sz w:val="18"/>
          <w:szCs w:val="18"/>
        </w:rPr>
        <w:t>行目</w:t>
      </w:r>
      <w:r w:rsidRPr="002F3DE1">
        <w:rPr>
          <w:rFonts w:hint="eastAsia"/>
          <w:sz w:val="18"/>
          <w:szCs w:val="18"/>
        </w:rPr>
        <w:t>)</w:t>
      </w:r>
      <w:r w:rsidRPr="002F3DE1">
        <w:rPr>
          <w:rFonts w:hint="eastAsia"/>
        </w:rPr>
        <w:t>までの講読が行われた。</w:t>
      </w:r>
    </w:p>
    <w:p w:rsidR="002F3DE1" w:rsidRPr="002F3DE1" w:rsidRDefault="002F3DE1" w:rsidP="002F3DE1">
      <w:pPr>
        <w:tabs>
          <w:tab w:val="left" w:pos="2340"/>
        </w:tabs>
      </w:pPr>
      <w:r w:rsidRPr="002F3DE1">
        <w:rPr>
          <w:rFonts w:hint="eastAsia"/>
        </w:rPr>
        <w:t>②</w:t>
      </w:r>
      <w:r w:rsidRPr="002F3DE1">
        <w:rPr>
          <w:rFonts w:hint="eastAsia"/>
        </w:rPr>
        <w:t xml:space="preserve"> </w:t>
      </w:r>
      <w:r w:rsidRPr="002F3DE1">
        <w:rPr>
          <w:rFonts w:hint="eastAsia"/>
        </w:rPr>
        <w:t>「浅深之事」</w:t>
      </w:r>
      <w:r w:rsidRPr="002F3DE1">
        <w:rPr>
          <w:rFonts w:hint="eastAsia"/>
        </w:rPr>
        <w:t>(</w:t>
      </w:r>
      <w:r w:rsidRPr="002F3DE1">
        <w:rPr>
          <w:rFonts w:hint="eastAsia"/>
        </w:rPr>
        <w:t>浅深のこと</w:t>
      </w:r>
      <w:r w:rsidRPr="002F3DE1">
        <w:rPr>
          <w:rFonts w:hint="eastAsia"/>
        </w:rPr>
        <w:t>)</w:t>
      </w:r>
      <w:r w:rsidRPr="002F3DE1">
        <w:rPr>
          <w:rFonts w:hint="eastAsia"/>
        </w:rPr>
        <w:t>では能における謡・舞・所作やそのほかの万事にわたってしぐさの大小・大ようさ・細やかさについて具体的に考えながら確認をしてくることができた。</w:t>
      </w:r>
    </w:p>
    <w:p w:rsidR="002F3DE1" w:rsidRPr="002F3DE1" w:rsidRDefault="002F3DE1" w:rsidP="002F3DE1">
      <w:pPr>
        <w:tabs>
          <w:tab w:val="left" w:pos="2340"/>
        </w:tabs>
      </w:pPr>
      <w:r w:rsidRPr="002F3DE1">
        <w:rPr>
          <w:rFonts w:hint="eastAsia"/>
        </w:rPr>
        <w:t>③</w:t>
      </w:r>
      <w:r w:rsidRPr="002F3DE1">
        <w:t xml:space="preserve"> </w:t>
      </w:r>
      <w:r w:rsidRPr="002F3DE1">
        <w:rPr>
          <w:rFonts w:hint="eastAsia"/>
        </w:rPr>
        <w:t>前半ではそれを臨床心理学の河合隼雄先生や数学の岡潔先生の姿勢と辿られた人生の中に見る「浅深</w:t>
      </w:r>
      <w:r w:rsidRPr="002F3DE1">
        <w:rPr>
          <w:rFonts w:hint="eastAsia"/>
        </w:rPr>
        <w:lastRenderedPageBreak/>
        <w:t>のこと」として考え、博士論文や修士論文の構想とも対応させながら考えることができたところが大変興味深かったと思われた。</w:t>
      </w:r>
    </w:p>
    <w:p w:rsidR="002F3DE1" w:rsidRPr="002F3DE1" w:rsidRDefault="002F3DE1" w:rsidP="002F3DE1">
      <w:pPr>
        <w:tabs>
          <w:tab w:val="left" w:pos="2340"/>
        </w:tabs>
      </w:pPr>
      <w:r w:rsidRPr="002F3DE1">
        <w:rPr>
          <w:rFonts w:hint="eastAsia"/>
        </w:rPr>
        <w:t>④</w:t>
      </w:r>
      <w:r w:rsidRPr="002F3DE1">
        <w:rPr>
          <w:rFonts w:hint="eastAsia"/>
        </w:rPr>
        <w:t xml:space="preserve"> </w:t>
      </w:r>
      <w:r w:rsidRPr="002F3DE1">
        <w:rPr>
          <w:rFonts w:hint="eastAsia"/>
        </w:rPr>
        <w:t>また学問が学問であり芸術が芸術である由縁は</w:t>
      </w:r>
      <w:r w:rsidRPr="002F3DE1">
        <w:rPr>
          <w:rFonts w:hint="eastAsia"/>
        </w:rPr>
        <w:t>originality</w:t>
      </w:r>
      <w:r w:rsidRPr="002F3DE1">
        <w:t>(</w:t>
      </w:r>
      <w:r w:rsidRPr="002F3DE1">
        <w:rPr>
          <w:rFonts w:hint="eastAsia"/>
        </w:rPr>
        <w:t>世阿弥の言うめずらしさや面白さ</w:t>
      </w:r>
      <w:r w:rsidRPr="002F3DE1">
        <w:t>)</w:t>
      </w:r>
      <w:r w:rsidRPr="002F3DE1">
        <w:rPr>
          <w:rFonts w:hint="eastAsia"/>
        </w:rPr>
        <w:t>にあるが、その</w:t>
      </w:r>
      <w:r w:rsidRPr="002F3DE1">
        <w:rPr>
          <w:rFonts w:hint="eastAsia"/>
        </w:rPr>
        <w:t>originality</w:t>
      </w:r>
      <w:r w:rsidRPr="002F3DE1">
        <w:rPr>
          <w:rFonts w:hint="eastAsia"/>
        </w:rPr>
        <w:t>を理解することが出来る人は少なく、博士論文ならば、学生は制度としての博士論文と同時に本物の博士論文の道を目指していくことが重要で、先生は論文指導を通じて上手く学生の持って生まれた素質を引き出し、学生の将来の可能性を伸ばしていくべきであるのだということを理解させて頂くことができた。</w:t>
      </w:r>
    </w:p>
    <w:p w:rsidR="002F3DE1" w:rsidRPr="002F3DE1" w:rsidRDefault="002F3DE1" w:rsidP="002F3DE1">
      <w:pPr>
        <w:tabs>
          <w:tab w:val="left" w:pos="2340"/>
        </w:tabs>
      </w:pPr>
      <w:bookmarkStart w:id="5" w:name="_Hlk516500262"/>
      <w:r w:rsidRPr="002F3DE1">
        <w:rPr>
          <w:rFonts w:hint="eastAsia"/>
        </w:rPr>
        <w:t>⑤</w:t>
      </w:r>
      <w:r w:rsidRPr="002F3DE1">
        <w:rPr>
          <w:rFonts w:hint="eastAsia"/>
        </w:rPr>
        <w:t xml:space="preserve"> </w:t>
      </w:r>
      <w:r w:rsidRPr="002F3DE1">
        <w:rPr>
          <w:rFonts w:hint="eastAsia"/>
        </w:rPr>
        <w:t>次回の世阿弥研究会は</w:t>
      </w:r>
      <w:r w:rsidRPr="002F3DE1">
        <w:rPr>
          <w:rFonts w:hint="eastAsia"/>
        </w:rPr>
        <w:t>6</w:t>
      </w:r>
      <w:r w:rsidRPr="002F3DE1">
        <w:rPr>
          <w:rFonts w:hint="eastAsia"/>
        </w:rPr>
        <w:t>月</w:t>
      </w:r>
      <w:r w:rsidRPr="002F3DE1">
        <w:rPr>
          <w:rFonts w:hint="eastAsia"/>
        </w:rPr>
        <w:t>2</w:t>
      </w:r>
      <w:r w:rsidRPr="002F3DE1">
        <w:t>6</w:t>
      </w:r>
      <w:r w:rsidRPr="002F3DE1">
        <w:rPr>
          <w:rFonts w:hint="eastAsia"/>
        </w:rPr>
        <w:t>日</w:t>
      </w:r>
      <w:r w:rsidRPr="002F3DE1">
        <w:rPr>
          <w:rFonts w:hint="eastAsia"/>
        </w:rPr>
        <w:t>(</w:t>
      </w:r>
      <w:r w:rsidRPr="002F3DE1">
        <w:rPr>
          <w:rFonts w:hint="eastAsia"/>
        </w:rPr>
        <w:t>火</w:t>
      </w:r>
      <w:r w:rsidRPr="002F3DE1">
        <w:t>)</w:t>
      </w:r>
      <w:r w:rsidRPr="002F3DE1">
        <w:rPr>
          <w:rFonts w:hint="eastAsia"/>
        </w:rPr>
        <w:t>に</w:t>
      </w:r>
      <w:r w:rsidRPr="002F3DE1">
        <w:rPr>
          <w:rFonts w:hint="eastAsia"/>
        </w:rPr>
        <w:t>1</w:t>
      </w:r>
      <w:r w:rsidRPr="002F3DE1">
        <w:t>8</w:t>
      </w:r>
      <w:r w:rsidRPr="002F3DE1">
        <w:rPr>
          <w:rFonts w:hint="eastAsia"/>
        </w:rPr>
        <w:t>時より河村能舞台の楽屋で行われ、講読は『世阿弥能楽論集』「花鏡」の</w:t>
      </w:r>
      <w:r w:rsidRPr="002F3DE1">
        <w:rPr>
          <w:rFonts w:hint="eastAsia"/>
        </w:rPr>
        <w:t>2</w:t>
      </w:r>
      <w:r w:rsidRPr="002F3DE1">
        <w:t>14</w:t>
      </w:r>
      <w:r w:rsidRPr="002F3DE1">
        <w:rPr>
          <w:rFonts w:hint="eastAsia"/>
        </w:rPr>
        <w:t>頁</w:t>
      </w:r>
      <w:r w:rsidRPr="002F3DE1">
        <w:rPr>
          <w:rFonts w:hint="eastAsia"/>
        </w:rPr>
        <w:t>6</w:t>
      </w:r>
      <w:r w:rsidRPr="002F3DE1">
        <w:rPr>
          <w:rFonts w:hint="eastAsia"/>
        </w:rPr>
        <w:t>行目からの「幽玄之入</w:t>
      </w:r>
      <w:r w:rsidRPr="002F3DE1">
        <w:rPr>
          <w:rFonts w:hint="eastAsia"/>
          <w:sz w:val="16"/>
          <w:szCs w:val="16"/>
        </w:rPr>
        <w:t>レ</w:t>
      </w:r>
      <w:r w:rsidRPr="002F3DE1">
        <w:rPr>
          <w:rFonts w:hint="eastAsia"/>
        </w:rPr>
        <w:t>境事」</w:t>
      </w:r>
      <w:r w:rsidRPr="002F3DE1">
        <w:rPr>
          <w:rFonts w:hint="eastAsia"/>
        </w:rPr>
        <w:t>(</w:t>
      </w:r>
      <w:r w:rsidRPr="002F3DE1">
        <w:rPr>
          <w:rFonts w:hint="eastAsia"/>
        </w:rPr>
        <w:t>幽玄の境に入ること</w:t>
      </w:r>
      <w:r w:rsidRPr="002F3DE1">
        <w:t>)</w:t>
      </w:r>
      <w:r w:rsidRPr="002F3DE1">
        <w:rPr>
          <w:rFonts w:hint="eastAsia"/>
        </w:rPr>
        <w:t>からである。</w:t>
      </w:r>
    </w:p>
    <w:bookmarkEnd w:id="5"/>
    <w:p w:rsidR="002F3DE1" w:rsidRPr="002F3DE1" w:rsidRDefault="002F3DE1" w:rsidP="002F3DE1">
      <w:pPr>
        <w:tabs>
          <w:tab w:val="left" w:pos="2340"/>
        </w:tabs>
      </w:pPr>
      <w:r w:rsidRPr="002F3DE1">
        <w:rPr>
          <w:rFonts w:hint="eastAsia"/>
        </w:rPr>
        <w:t>⑥</w:t>
      </w:r>
      <w:r w:rsidRPr="002F3DE1">
        <w:rPr>
          <w:rFonts w:hint="eastAsia"/>
        </w:rPr>
        <w:t xml:space="preserve"> </w:t>
      </w:r>
      <w:r w:rsidRPr="002F3DE1">
        <w:rPr>
          <w:rFonts w:hint="eastAsia"/>
        </w:rPr>
        <w:t>また次回は</w:t>
      </w:r>
      <w:r w:rsidRPr="002F3DE1">
        <w:rPr>
          <w:rFonts w:hint="eastAsia"/>
        </w:rPr>
        <w:t>30</w:t>
      </w:r>
      <w:r w:rsidRPr="002F3DE1">
        <w:rPr>
          <w:rFonts w:hint="eastAsia"/>
        </w:rPr>
        <w:t>分くらいの河村博重先生による「観世榮夫」先生のレクチャーも行われる予定である。</w:t>
      </w:r>
    </w:p>
    <w:p w:rsidR="002F3DE1" w:rsidRPr="002F3DE1" w:rsidRDefault="002F3DE1" w:rsidP="008B5B8A">
      <w:pPr>
        <w:rPr>
          <w:sz w:val="18"/>
          <w:szCs w:val="18"/>
        </w:rPr>
      </w:pPr>
    </w:p>
    <w:p w:rsidR="00CC40F9" w:rsidRDefault="00CC40F9" w:rsidP="008B5B8A">
      <w:pPr>
        <w:rPr>
          <w:sz w:val="18"/>
          <w:szCs w:val="18"/>
        </w:rPr>
      </w:pPr>
    </w:p>
    <w:p w:rsidR="009F5BA3" w:rsidRPr="00F915FC" w:rsidRDefault="008B5B8A" w:rsidP="008B5B8A">
      <w:pPr>
        <w:rPr>
          <w:sz w:val="20"/>
          <w:szCs w:val="20"/>
        </w:rPr>
      </w:pPr>
      <w:r w:rsidRPr="00F915FC">
        <w:rPr>
          <w:sz w:val="20"/>
          <w:szCs w:val="20"/>
          <w:bdr w:val="single" w:sz="4" w:space="0" w:color="auto"/>
        </w:rPr>
        <w:t>参考</w:t>
      </w:r>
      <w:bookmarkStart w:id="6" w:name="_GoBack"/>
      <w:bookmarkEnd w:id="6"/>
      <w:r w:rsidRPr="00F915FC">
        <w:rPr>
          <w:sz w:val="20"/>
          <w:szCs w:val="20"/>
          <w:bdr w:val="single" w:sz="4" w:space="0" w:color="auto"/>
        </w:rPr>
        <w:t>文献</w:t>
      </w:r>
      <w:r w:rsidRPr="00F915FC">
        <w:rPr>
          <w:rFonts w:hint="eastAsia"/>
          <w:sz w:val="20"/>
          <w:szCs w:val="20"/>
        </w:rPr>
        <w:t xml:space="preserve"> </w:t>
      </w:r>
    </w:p>
    <w:p w:rsidR="008B5B8A" w:rsidRPr="00F915FC" w:rsidRDefault="009F5BA3" w:rsidP="008B5B8A">
      <w:pPr>
        <w:rPr>
          <w:sz w:val="20"/>
          <w:szCs w:val="20"/>
        </w:rPr>
      </w:pPr>
      <w:r w:rsidRPr="00F915FC">
        <w:rPr>
          <w:rFonts w:hint="eastAsia"/>
          <w:sz w:val="20"/>
          <w:szCs w:val="20"/>
        </w:rPr>
        <w:t>①</w:t>
      </w:r>
      <w:r w:rsidRPr="00F915FC">
        <w:rPr>
          <w:rFonts w:hint="eastAsia"/>
          <w:sz w:val="20"/>
          <w:szCs w:val="20"/>
        </w:rPr>
        <w:t xml:space="preserve"> </w:t>
      </w:r>
      <w:r w:rsidR="008B5B8A" w:rsidRPr="00F915FC">
        <w:rPr>
          <w:rFonts w:hint="eastAsia"/>
          <w:sz w:val="20"/>
          <w:szCs w:val="20"/>
        </w:rPr>
        <w:t>小西甚一編訳『世阿弥能楽論集』「花鏡」たちばな出版</w:t>
      </w:r>
      <w:r w:rsidR="008B5B8A" w:rsidRPr="00F915FC">
        <w:rPr>
          <w:rFonts w:hint="eastAsia"/>
          <w:sz w:val="20"/>
          <w:szCs w:val="20"/>
        </w:rPr>
        <w:t>, 2004, pp.188</w:t>
      </w:r>
      <w:r w:rsidR="008B5B8A" w:rsidRPr="00F915FC">
        <w:rPr>
          <w:rFonts w:hint="eastAsia"/>
          <w:sz w:val="20"/>
          <w:szCs w:val="20"/>
        </w:rPr>
        <w:t>～</w:t>
      </w:r>
      <w:r w:rsidR="008B5B8A" w:rsidRPr="00F915FC">
        <w:rPr>
          <w:rFonts w:hint="eastAsia"/>
          <w:sz w:val="20"/>
          <w:szCs w:val="20"/>
        </w:rPr>
        <w:t>238.</w:t>
      </w:r>
    </w:p>
    <w:p w:rsidR="008B5B8A" w:rsidRPr="00F915FC" w:rsidRDefault="009F5BA3" w:rsidP="008B5B8A">
      <w:pPr>
        <w:rPr>
          <w:sz w:val="20"/>
          <w:szCs w:val="20"/>
        </w:rPr>
      </w:pPr>
      <w:r w:rsidRPr="00F915FC">
        <w:rPr>
          <w:rFonts w:hint="eastAsia"/>
          <w:sz w:val="20"/>
          <w:szCs w:val="20"/>
        </w:rPr>
        <w:t>②</w:t>
      </w:r>
      <w:r w:rsidRPr="00F915FC">
        <w:rPr>
          <w:rFonts w:hint="eastAsia"/>
          <w:sz w:val="20"/>
          <w:szCs w:val="20"/>
        </w:rPr>
        <w:t xml:space="preserve"> </w:t>
      </w:r>
      <w:r w:rsidRPr="00F915FC">
        <w:rPr>
          <w:rFonts w:hint="eastAsia"/>
          <w:sz w:val="20"/>
          <w:szCs w:val="20"/>
        </w:rPr>
        <w:t>松村明編『大辞林</w:t>
      </w:r>
      <w:r w:rsidR="00413BF9" w:rsidRPr="00F915FC">
        <w:rPr>
          <w:rFonts w:hint="eastAsia"/>
          <w:sz w:val="20"/>
          <w:szCs w:val="20"/>
        </w:rPr>
        <w:t xml:space="preserve">　</w:t>
      </w:r>
      <w:r w:rsidRPr="00F915FC">
        <w:rPr>
          <w:rFonts w:hint="eastAsia"/>
          <w:sz w:val="20"/>
          <w:szCs w:val="20"/>
        </w:rPr>
        <w:t>第三版』三省堂</w:t>
      </w:r>
      <w:r w:rsidRPr="00F915FC">
        <w:rPr>
          <w:rFonts w:hint="eastAsia"/>
          <w:sz w:val="20"/>
          <w:szCs w:val="20"/>
        </w:rPr>
        <w:t>,</w:t>
      </w:r>
      <w:r w:rsidR="0046555A" w:rsidRPr="00F915FC">
        <w:rPr>
          <w:sz w:val="20"/>
          <w:szCs w:val="20"/>
        </w:rPr>
        <w:t xml:space="preserve"> </w:t>
      </w:r>
      <w:r w:rsidRPr="00F915FC">
        <w:rPr>
          <w:rFonts w:hint="eastAsia"/>
          <w:sz w:val="20"/>
          <w:szCs w:val="20"/>
        </w:rPr>
        <w:t>2006</w:t>
      </w:r>
      <w:r w:rsidR="0046555A" w:rsidRPr="00F915FC">
        <w:rPr>
          <w:sz w:val="20"/>
          <w:szCs w:val="20"/>
        </w:rPr>
        <w:t xml:space="preserve">, </w:t>
      </w:r>
      <w:r w:rsidRPr="00F915FC">
        <w:rPr>
          <w:rFonts w:hint="eastAsia"/>
          <w:sz w:val="20"/>
          <w:szCs w:val="20"/>
        </w:rPr>
        <w:t>p.1221.</w:t>
      </w:r>
    </w:p>
    <w:p w:rsidR="009F5BA3" w:rsidRPr="00F915FC" w:rsidRDefault="009F5BA3" w:rsidP="008B5B8A">
      <w:pPr>
        <w:rPr>
          <w:sz w:val="20"/>
          <w:szCs w:val="20"/>
        </w:rPr>
      </w:pPr>
      <w:r w:rsidRPr="00F915FC">
        <w:rPr>
          <w:rFonts w:hint="eastAsia"/>
          <w:sz w:val="20"/>
          <w:szCs w:val="20"/>
        </w:rPr>
        <w:t>③</w:t>
      </w:r>
      <w:r w:rsidRPr="00F915FC">
        <w:rPr>
          <w:rFonts w:hint="eastAsia"/>
          <w:sz w:val="20"/>
          <w:szCs w:val="20"/>
        </w:rPr>
        <w:t xml:space="preserve"> </w:t>
      </w:r>
      <w:r w:rsidRPr="00F915FC">
        <w:rPr>
          <w:rFonts w:hint="eastAsia"/>
          <w:sz w:val="20"/>
          <w:szCs w:val="20"/>
        </w:rPr>
        <w:t>小林責、西哲生、羽田昶著『能楽大事典』筑摩書房</w:t>
      </w:r>
      <w:r w:rsidRPr="00F915FC">
        <w:rPr>
          <w:rFonts w:hint="eastAsia"/>
          <w:sz w:val="20"/>
          <w:szCs w:val="20"/>
        </w:rPr>
        <w:t>,</w:t>
      </w:r>
      <w:r w:rsidR="0046555A" w:rsidRPr="00F915FC">
        <w:rPr>
          <w:sz w:val="20"/>
          <w:szCs w:val="20"/>
        </w:rPr>
        <w:t xml:space="preserve"> </w:t>
      </w:r>
      <w:r w:rsidRPr="00F915FC">
        <w:rPr>
          <w:rFonts w:hint="eastAsia"/>
          <w:sz w:val="20"/>
          <w:szCs w:val="20"/>
        </w:rPr>
        <w:t>2012,</w:t>
      </w:r>
      <w:r w:rsidR="0046555A" w:rsidRPr="00F915FC">
        <w:rPr>
          <w:sz w:val="20"/>
          <w:szCs w:val="20"/>
        </w:rPr>
        <w:t xml:space="preserve"> </w:t>
      </w:r>
      <w:r w:rsidRPr="00F915FC">
        <w:rPr>
          <w:rFonts w:hint="eastAsia"/>
          <w:sz w:val="20"/>
          <w:szCs w:val="20"/>
        </w:rPr>
        <w:t>p.190.</w:t>
      </w:r>
    </w:p>
    <w:sectPr w:rsidR="009F5BA3" w:rsidRPr="00F915FC" w:rsidSect="00C523EE">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CE" w:rsidRDefault="004C6CCE" w:rsidP="00C87757">
      <w:r>
        <w:separator/>
      </w:r>
    </w:p>
  </w:endnote>
  <w:endnote w:type="continuationSeparator" w:id="0">
    <w:p w:rsidR="004C6CCE" w:rsidRDefault="004C6CCE" w:rsidP="00C8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34195"/>
      <w:docPartObj>
        <w:docPartGallery w:val="Page Numbers (Bottom of Page)"/>
        <w:docPartUnique/>
      </w:docPartObj>
    </w:sdtPr>
    <w:sdtEndPr/>
    <w:sdtContent>
      <w:p w:rsidR="00957EE4" w:rsidRDefault="00957EE4">
        <w:pPr>
          <w:pStyle w:val="a5"/>
          <w:jc w:val="center"/>
        </w:pPr>
        <w:r>
          <w:fldChar w:fldCharType="begin"/>
        </w:r>
        <w:r>
          <w:instrText>PAGE   \* MERGEFORMAT</w:instrText>
        </w:r>
        <w:r>
          <w:fldChar w:fldCharType="separate"/>
        </w:r>
        <w:r>
          <w:rPr>
            <w:lang w:val="ja-JP"/>
          </w:rPr>
          <w:t>2</w:t>
        </w:r>
        <w:r>
          <w:fldChar w:fldCharType="end"/>
        </w:r>
      </w:p>
    </w:sdtContent>
  </w:sdt>
  <w:p w:rsidR="00957EE4" w:rsidRDefault="00957E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CE" w:rsidRDefault="004C6CCE" w:rsidP="00C87757">
      <w:r>
        <w:separator/>
      </w:r>
    </w:p>
  </w:footnote>
  <w:footnote w:type="continuationSeparator" w:id="0">
    <w:p w:rsidR="004C6CCE" w:rsidRDefault="004C6CCE" w:rsidP="00C87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2D"/>
    <w:rsid w:val="00060F36"/>
    <w:rsid w:val="000702AF"/>
    <w:rsid w:val="000C4A60"/>
    <w:rsid w:val="0014084C"/>
    <w:rsid w:val="00190516"/>
    <w:rsid w:val="001C6BCB"/>
    <w:rsid w:val="00207BCD"/>
    <w:rsid w:val="0026283D"/>
    <w:rsid w:val="002F3DE1"/>
    <w:rsid w:val="00317CC5"/>
    <w:rsid w:val="00346B21"/>
    <w:rsid w:val="00390690"/>
    <w:rsid w:val="003A348D"/>
    <w:rsid w:val="003C51A2"/>
    <w:rsid w:val="00413BF9"/>
    <w:rsid w:val="0046555A"/>
    <w:rsid w:val="004C6CCE"/>
    <w:rsid w:val="004F2391"/>
    <w:rsid w:val="00571020"/>
    <w:rsid w:val="006D5390"/>
    <w:rsid w:val="00741EBE"/>
    <w:rsid w:val="00742F27"/>
    <w:rsid w:val="007D1819"/>
    <w:rsid w:val="00835827"/>
    <w:rsid w:val="00846CCE"/>
    <w:rsid w:val="008B5B8A"/>
    <w:rsid w:val="008C4285"/>
    <w:rsid w:val="008E6B1F"/>
    <w:rsid w:val="009323CF"/>
    <w:rsid w:val="00932B5E"/>
    <w:rsid w:val="0095317D"/>
    <w:rsid w:val="00957EE4"/>
    <w:rsid w:val="009F5BA3"/>
    <w:rsid w:val="00A14914"/>
    <w:rsid w:val="00AC5155"/>
    <w:rsid w:val="00AE4C47"/>
    <w:rsid w:val="00C00CAF"/>
    <w:rsid w:val="00C24C1C"/>
    <w:rsid w:val="00C3183E"/>
    <w:rsid w:val="00C523EE"/>
    <w:rsid w:val="00C64791"/>
    <w:rsid w:val="00C87757"/>
    <w:rsid w:val="00CA3B5C"/>
    <w:rsid w:val="00CB2EBA"/>
    <w:rsid w:val="00CC3DF7"/>
    <w:rsid w:val="00CC40F9"/>
    <w:rsid w:val="00CD45BC"/>
    <w:rsid w:val="00D16741"/>
    <w:rsid w:val="00D63C86"/>
    <w:rsid w:val="00EB0A2B"/>
    <w:rsid w:val="00EC538D"/>
    <w:rsid w:val="00ED4A9F"/>
    <w:rsid w:val="00EE1B0E"/>
    <w:rsid w:val="00F7162D"/>
    <w:rsid w:val="00F915FC"/>
    <w:rsid w:val="00FA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AFAC5"/>
  <w15:chartTrackingRefBased/>
  <w15:docId w15:val="{C342030C-4BD4-4999-86F0-0F1F1867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757"/>
    <w:pPr>
      <w:tabs>
        <w:tab w:val="center" w:pos="4252"/>
        <w:tab w:val="right" w:pos="8504"/>
      </w:tabs>
      <w:snapToGrid w:val="0"/>
    </w:pPr>
  </w:style>
  <w:style w:type="character" w:customStyle="1" w:styleId="a4">
    <w:name w:val="ヘッダー (文字)"/>
    <w:basedOn w:val="a0"/>
    <w:link w:val="a3"/>
    <w:uiPriority w:val="99"/>
    <w:rsid w:val="00C87757"/>
  </w:style>
  <w:style w:type="paragraph" w:styleId="a5">
    <w:name w:val="footer"/>
    <w:basedOn w:val="a"/>
    <w:link w:val="a6"/>
    <w:uiPriority w:val="99"/>
    <w:unhideWhenUsed/>
    <w:rsid w:val="00C87757"/>
    <w:pPr>
      <w:tabs>
        <w:tab w:val="center" w:pos="4252"/>
        <w:tab w:val="right" w:pos="8504"/>
      </w:tabs>
      <w:snapToGrid w:val="0"/>
    </w:pPr>
  </w:style>
  <w:style w:type="character" w:customStyle="1" w:styleId="a6">
    <w:name w:val="フッター (文字)"/>
    <w:basedOn w:val="a0"/>
    <w:link w:val="a5"/>
    <w:uiPriority w:val="99"/>
    <w:rsid w:val="00C87757"/>
  </w:style>
  <w:style w:type="paragraph" w:styleId="a7">
    <w:name w:val="Balloon Text"/>
    <w:basedOn w:val="a"/>
    <w:link w:val="a8"/>
    <w:uiPriority w:val="99"/>
    <w:semiHidden/>
    <w:unhideWhenUsed/>
    <w:rsid w:val="00AE4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23</cp:revision>
  <cp:lastPrinted>2018-06-26T03:57:00Z</cp:lastPrinted>
  <dcterms:created xsi:type="dcterms:W3CDTF">2018-05-29T06:30:00Z</dcterms:created>
  <dcterms:modified xsi:type="dcterms:W3CDTF">2018-06-26T05:24:00Z</dcterms:modified>
</cp:coreProperties>
</file>