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5C6C" w:rsidRDefault="00C55C93">
      <w:pPr>
        <w:rPr>
          <w:sz w:val="20"/>
          <w:szCs w:val="20"/>
        </w:rPr>
      </w:pPr>
      <w:r w:rsidRPr="00C55C93">
        <w:rPr>
          <w:rFonts w:ascii="HGPｺﾞｼｯｸE" w:eastAsia="HGPｺﾞｼｯｸE" w:hAnsi="HGPｺﾞｼｯｸE" w:hint="eastAsia"/>
          <w:sz w:val="18"/>
          <w:szCs w:val="18"/>
        </w:rPr>
        <w:t>第51回身心変容技法研究会</w:t>
      </w:r>
      <w:r>
        <w:rPr>
          <w:rFonts w:ascii="HGPｺﾞｼｯｸE" w:eastAsia="HGPｺﾞｼｯｸE" w:hAnsi="HGPｺﾞｼｯｸE" w:hint="eastAsia"/>
          <w:sz w:val="18"/>
          <w:szCs w:val="18"/>
        </w:rPr>
        <w:t xml:space="preserve">　</w:t>
      </w:r>
      <w:r w:rsidRPr="00C55C93">
        <w:rPr>
          <w:rFonts w:ascii="HGPｺﾞｼｯｸE" w:eastAsia="HGPｺﾞｼｯｸE" w:hAnsi="HGPｺﾞｼｯｸE"/>
        </w:rPr>
        <w:t>「ユーラシアをつなぐ身心変容動線の過去と未来～中国とロシアを貫通するもの」</w:t>
      </w:r>
      <w:r>
        <w:rPr>
          <w:rFonts w:ascii="HGPｺﾞｼｯｸE" w:eastAsia="HGPｺﾞｼｯｸE" w:hAnsi="HGPｺﾞｼｯｸE" w:hint="eastAsia"/>
        </w:rPr>
        <w:t>鎌田東二</w:t>
      </w:r>
      <w:r>
        <w:br/>
      </w:r>
      <w:r w:rsidRPr="00C55C93">
        <w:rPr>
          <w:rFonts w:ascii="ＭＳ 明朝" w:eastAsia="ＭＳ 明朝" w:hAnsi="ＭＳ 明朝" w:cs="ＭＳ 明朝" w:hint="eastAsia"/>
          <w:sz w:val="20"/>
          <w:szCs w:val="20"/>
        </w:rPr>
        <w:t>１、</w:t>
      </w:r>
      <w:r w:rsidRPr="00C55C93">
        <w:rPr>
          <w:sz w:val="20"/>
          <w:szCs w:val="20"/>
        </w:rPr>
        <w:t>中国との関わり（</w:t>
      </w:r>
      <w:r w:rsidRPr="00C55C93">
        <w:rPr>
          <w:sz w:val="20"/>
          <w:szCs w:val="20"/>
        </w:rPr>
        <w:t>1990</w:t>
      </w:r>
      <w:r w:rsidRPr="00C55C93">
        <w:rPr>
          <w:sz w:val="20"/>
          <w:szCs w:val="20"/>
        </w:rPr>
        <w:t>年より約</w:t>
      </w:r>
      <w:r w:rsidRPr="00C55C93">
        <w:rPr>
          <w:sz w:val="20"/>
          <w:szCs w:val="20"/>
        </w:rPr>
        <w:t>10</w:t>
      </w:r>
      <w:r w:rsidRPr="00C55C93">
        <w:rPr>
          <w:sz w:val="20"/>
          <w:szCs w:val="20"/>
        </w:rPr>
        <w:t>回ほど訪問。主に気功シンポジウム参加）とロシアとの関わり（</w:t>
      </w:r>
      <w:r w:rsidRPr="00C55C93">
        <w:rPr>
          <w:sz w:val="20"/>
          <w:szCs w:val="20"/>
        </w:rPr>
        <w:t>1990</w:t>
      </w:r>
      <w:r w:rsidRPr="00C55C93">
        <w:rPr>
          <w:sz w:val="20"/>
          <w:szCs w:val="20"/>
        </w:rPr>
        <w:t>年</w:t>
      </w:r>
      <w:r w:rsidRPr="00C55C93">
        <w:rPr>
          <w:sz w:val="20"/>
          <w:szCs w:val="20"/>
        </w:rPr>
        <w:t>8</w:t>
      </w:r>
      <w:r w:rsidRPr="00C55C93">
        <w:rPr>
          <w:sz w:val="20"/>
          <w:szCs w:val="20"/>
        </w:rPr>
        <w:t>月旧ソ連の宇宙関連施設【宇宙飛行士の街・バイコヌールのロケット打ち上げ基地】視察、ウラジオストックの大学での講義と今回のウラジーミル訪問など</w:t>
      </w:r>
      <w:r w:rsidRPr="00C55C93">
        <w:rPr>
          <w:sz w:val="20"/>
          <w:szCs w:val="20"/>
        </w:rPr>
        <w:t>3</w:t>
      </w:r>
      <w:r w:rsidRPr="00C55C93">
        <w:rPr>
          <w:sz w:val="20"/>
          <w:szCs w:val="20"/>
        </w:rPr>
        <w:t>回）</w:t>
      </w:r>
      <w:r w:rsidRPr="00C55C93">
        <w:rPr>
          <w:sz w:val="20"/>
          <w:szCs w:val="20"/>
        </w:rPr>
        <w:br/>
      </w:r>
      <w:r w:rsidRPr="00C55C93">
        <w:rPr>
          <w:rFonts w:ascii="ＭＳ 明朝" w:eastAsia="ＭＳ 明朝" w:hAnsi="ＭＳ 明朝" w:cs="ＭＳ 明朝" w:hint="eastAsia"/>
          <w:sz w:val="20"/>
          <w:szCs w:val="20"/>
        </w:rPr>
        <w:t>２、</w:t>
      </w:r>
      <w:r w:rsidRPr="00C55C93">
        <w:rPr>
          <w:sz w:val="20"/>
          <w:szCs w:val="20"/>
        </w:rPr>
        <w:t>中国とロシアにおける政治と宗教</w:t>
      </w:r>
      <w:r w:rsidRPr="00F41ED2">
        <w:rPr>
          <w:sz w:val="18"/>
          <w:szCs w:val="18"/>
        </w:rPr>
        <w:t>（身心変容とその技法を世に訴えた法輪功とオウム真理教が両国で引き起こした波紋）</w:t>
      </w:r>
      <w:r w:rsidRPr="00F41ED2">
        <w:rPr>
          <w:sz w:val="18"/>
          <w:szCs w:val="18"/>
        </w:rPr>
        <w:br/>
      </w:r>
      <w:r w:rsidRPr="00C55C93">
        <w:rPr>
          <w:rFonts w:ascii="ＭＳ 明朝" w:eastAsia="ＭＳ 明朝" w:hAnsi="ＭＳ 明朝" w:cs="ＭＳ 明朝" w:hint="eastAsia"/>
          <w:sz w:val="20"/>
          <w:szCs w:val="20"/>
        </w:rPr>
        <w:t>３、</w:t>
      </w:r>
      <w:r>
        <w:rPr>
          <w:sz w:val="20"/>
          <w:szCs w:val="20"/>
        </w:rPr>
        <w:t>ロシア</w:t>
      </w:r>
      <w:r>
        <w:rPr>
          <w:rFonts w:hint="eastAsia"/>
          <w:sz w:val="20"/>
          <w:szCs w:val="20"/>
        </w:rPr>
        <w:t>/</w:t>
      </w:r>
      <w:r w:rsidRPr="00C55C93">
        <w:rPr>
          <w:sz w:val="20"/>
          <w:szCs w:val="20"/>
        </w:rPr>
        <w:t>ヨーロッパと日本をつなぐ動線としてのモンゴル族とモンゴル軍～</w:t>
      </w:r>
      <w:r w:rsidRPr="00C55C93">
        <w:rPr>
          <w:sz w:val="20"/>
          <w:szCs w:val="20"/>
        </w:rPr>
        <w:t>13</w:t>
      </w:r>
      <w:r w:rsidRPr="00C55C93">
        <w:rPr>
          <w:sz w:val="20"/>
          <w:szCs w:val="20"/>
        </w:rPr>
        <w:t>世紀モンゴルの東西串刺しの騎馬戦</w:t>
      </w:r>
      <w:r w:rsidRPr="00C55C93">
        <w:rPr>
          <w:sz w:val="20"/>
          <w:szCs w:val="20"/>
        </w:rPr>
        <w:br/>
      </w:r>
      <w:r w:rsidRPr="00C55C93">
        <w:rPr>
          <w:rFonts w:ascii="ＭＳ 明朝" w:eastAsia="ＭＳ 明朝" w:hAnsi="ＭＳ 明朝" w:cs="ＭＳ 明朝" w:hint="eastAsia"/>
          <w:sz w:val="20"/>
          <w:szCs w:val="20"/>
        </w:rPr>
        <w:t>４、</w:t>
      </w:r>
      <w:r w:rsidRPr="00C55C93">
        <w:rPr>
          <w:sz w:val="20"/>
          <w:szCs w:val="20"/>
        </w:rPr>
        <w:t>匈奴・モンゴル・朝鮮から日本にもたらされた「鳴鏑」＝比叡山の神が持つ音の出る矢</w:t>
      </w:r>
      <w:r w:rsidRPr="00C55C93">
        <w:rPr>
          <w:sz w:val="20"/>
          <w:szCs w:val="20"/>
        </w:rPr>
        <w:br/>
      </w:r>
      <w:r w:rsidRPr="00C55C93">
        <w:rPr>
          <w:rFonts w:ascii="ＭＳ 明朝" w:eastAsia="ＭＳ 明朝" w:hAnsi="ＭＳ 明朝" w:cs="ＭＳ 明朝" w:hint="eastAsia"/>
          <w:sz w:val="20"/>
          <w:szCs w:val="20"/>
        </w:rPr>
        <w:t>５、</w:t>
      </w:r>
      <w:r w:rsidRPr="00C55C93">
        <w:rPr>
          <w:sz w:val="20"/>
          <w:szCs w:val="20"/>
        </w:rPr>
        <w:t>ロシアにおける</w:t>
      </w:r>
      <w:r w:rsidRPr="00C55C93">
        <w:rPr>
          <w:rFonts w:hint="eastAsia"/>
          <w:sz w:val="20"/>
          <w:szCs w:val="20"/>
        </w:rPr>
        <w:t>東京ノーヴィ・レパートリーシアターによる</w:t>
      </w:r>
      <w:r w:rsidRPr="00C55C93">
        <w:rPr>
          <w:sz w:val="20"/>
          <w:szCs w:val="20"/>
        </w:rPr>
        <w:t>『白痴』（ドストエフスキー）と『古事記』</w:t>
      </w:r>
      <w:r w:rsidRPr="00C55C93">
        <w:rPr>
          <w:rFonts w:hint="eastAsia"/>
          <w:sz w:val="20"/>
          <w:szCs w:val="20"/>
        </w:rPr>
        <w:t>公演</w:t>
      </w:r>
    </w:p>
    <w:p w:rsidR="00CE5C6C" w:rsidRDefault="00C55C93">
      <w:pPr>
        <w:rPr>
          <w:rFonts w:ascii="ＭＳ 明朝" w:eastAsia="ＭＳ 明朝" w:hAnsi="ＭＳ 明朝" w:cs="ＭＳ 明朝"/>
          <w:sz w:val="20"/>
          <w:szCs w:val="20"/>
        </w:rPr>
      </w:pPr>
      <w:r w:rsidRPr="00C55C93">
        <w:rPr>
          <w:rFonts w:ascii="ＭＳ 明朝" w:eastAsia="ＭＳ 明朝" w:hAnsi="ＭＳ 明朝" w:cs="ＭＳ 明朝" w:hint="eastAsia"/>
          <w:sz w:val="20"/>
          <w:szCs w:val="20"/>
        </w:rPr>
        <w:t>６、</w:t>
      </w:r>
      <w:r w:rsidR="00CE5C6C">
        <w:rPr>
          <w:rFonts w:ascii="ＭＳ 明朝" w:eastAsia="ＭＳ 明朝" w:hAnsi="ＭＳ 明朝" w:cs="ＭＳ 明朝" w:hint="eastAsia"/>
          <w:sz w:val="20"/>
          <w:szCs w:val="20"/>
        </w:rPr>
        <w:t>スタニスラフスキー・システムと世阿弥の『風姿花伝』</w:t>
      </w:r>
    </w:p>
    <w:p w:rsidR="00451D9A" w:rsidRDefault="00CE5C6C">
      <w:r>
        <w:rPr>
          <w:rFonts w:hint="eastAsia"/>
          <w:sz w:val="20"/>
          <w:szCs w:val="20"/>
        </w:rPr>
        <w:t>７、</w:t>
      </w:r>
      <w:r w:rsidR="00C55C93" w:rsidRPr="00C55C93">
        <w:rPr>
          <w:sz w:val="20"/>
          <w:szCs w:val="20"/>
        </w:rPr>
        <w:t>ユーラシアを結ぶ未来動線</w:t>
      </w:r>
      <w:r w:rsidR="00C55C93" w:rsidRPr="00C55C93">
        <w:rPr>
          <w:sz w:val="20"/>
          <w:szCs w:val="20"/>
        </w:rPr>
        <w:br/>
      </w:r>
      <w:r>
        <w:rPr>
          <w:rFonts w:ascii="ＭＳ 明朝" w:eastAsia="ＭＳ 明朝" w:hAnsi="ＭＳ 明朝" w:cs="ＭＳ 明朝" w:hint="eastAsia"/>
          <w:sz w:val="20"/>
          <w:szCs w:val="20"/>
        </w:rPr>
        <w:t>８</w:t>
      </w:r>
      <w:r w:rsidR="00C55C93" w:rsidRPr="00C55C93">
        <w:rPr>
          <w:rFonts w:ascii="ＭＳ 明朝" w:eastAsia="ＭＳ 明朝" w:hAnsi="ＭＳ 明朝" w:cs="ＭＳ 明朝" w:hint="eastAsia"/>
          <w:sz w:val="20"/>
          <w:szCs w:val="20"/>
        </w:rPr>
        <w:t>、</w:t>
      </w:r>
      <w:r w:rsidR="00C55C93" w:rsidRPr="00C55C93">
        <w:rPr>
          <w:rFonts w:hint="eastAsia"/>
          <w:sz w:val="20"/>
          <w:szCs w:val="20"/>
        </w:rPr>
        <w:t>まとめ</w:t>
      </w:r>
    </w:p>
    <w:p w:rsidR="00450F9B" w:rsidRDefault="00CD5A92">
      <w:r w:rsidRPr="00F41ED2">
        <w:rPr>
          <w:rFonts w:ascii="HGPｺﾞｼｯｸE" w:eastAsia="HGPｺﾞｼｯｸE" w:hAnsi="HGPｺﾞｼｯｸE" w:hint="eastAsia"/>
        </w:rPr>
        <w:t>＊</w:t>
      </w:r>
      <w:r w:rsidRPr="00F41ED2">
        <w:rPr>
          <w:rFonts w:ascii="HGPｺﾞｼｯｸE" w:eastAsia="HGPｺﾞｼｯｸE" w:hAnsi="HGPｺﾞｼｯｸE"/>
        </w:rPr>
        <w:t>スラニスラフスキーシステムを独自に解釈し練り上げたスタニスラフスキー～アニシモフ方式</w:t>
      </w:r>
      <w:r>
        <w:br/>
      </w:r>
      <w:r>
        <w:rPr>
          <w:rFonts w:ascii="ＭＳ 明朝" w:eastAsia="ＭＳ 明朝" w:hAnsi="ＭＳ 明朝" w:cs="ＭＳ 明朝" w:hint="eastAsia"/>
        </w:rPr>
        <w:t>①</w:t>
      </w:r>
      <w:r>
        <w:t>心の栄養になる演劇</w:t>
      </w:r>
      <w:r>
        <w:br/>
      </w:r>
      <w:r>
        <w:rPr>
          <w:rFonts w:ascii="ＭＳ 明朝" w:eastAsia="ＭＳ 明朝" w:hAnsi="ＭＳ 明朝" w:cs="ＭＳ 明朝" w:hint="eastAsia"/>
        </w:rPr>
        <w:t>②</w:t>
      </w:r>
      <w:r>
        <w:t>私が私に遭いに行く演劇</w:t>
      </w:r>
      <w:r>
        <w:br/>
      </w:r>
      <w:r>
        <w:rPr>
          <w:rFonts w:hint="eastAsia"/>
        </w:rPr>
        <w:t>＊</w:t>
      </w:r>
      <w:r>
        <w:t>「私が私に遭いに行く」とは、演劇を通して自分自身の気づきや認識を深め、人間的成長を果たすということであるが、ここにはスラニスラフスキーシステムに基づく独自の人間学がある。</w:t>
      </w:r>
      <w:r>
        <w:br/>
      </w:r>
      <w:r>
        <w:t>スラニスラフスキーは、役者に、</w:t>
      </w:r>
      <w:r>
        <w:br/>
      </w:r>
      <w:r>
        <w:rPr>
          <w:rFonts w:ascii="ＭＳ 明朝" w:eastAsia="ＭＳ 明朝" w:hAnsi="ＭＳ 明朝" w:cs="ＭＳ 明朝" w:hint="eastAsia"/>
        </w:rPr>
        <w:t>①</w:t>
      </w:r>
      <w:r>
        <w:t>超課題</w:t>
      </w:r>
      <w:r>
        <w:br/>
      </w:r>
      <w:r>
        <w:rPr>
          <w:rFonts w:ascii="ＭＳ 明朝" w:eastAsia="ＭＳ 明朝" w:hAnsi="ＭＳ 明朝" w:cs="ＭＳ 明朝" w:hint="eastAsia"/>
        </w:rPr>
        <w:t>②</w:t>
      </w:r>
      <w:r>
        <w:t>貫通行動</w:t>
      </w:r>
      <w:r>
        <w:br/>
      </w:r>
      <w:r>
        <w:rPr>
          <w:rFonts w:ascii="ＭＳ 明朝" w:eastAsia="ＭＳ 明朝" w:hAnsi="ＭＳ 明朝" w:cs="ＭＳ 明朝" w:hint="eastAsia"/>
        </w:rPr>
        <w:t>③</w:t>
      </w:r>
      <w:r>
        <w:t>分析</w:t>
      </w:r>
      <w:r>
        <w:br/>
      </w:r>
      <w:r>
        <w:t>の</w:t>
      </w:r>
      <w:r>
        <w:t>3</w:t>
      </w:r>
      <w:r>
        <w:t>つを徹底的に意識させることを常に突きつけていたという。「超課題」とは、自分が人生で一番求めているもの。「貫通行動」とは、その「超課題」にどう向っているか串刺しする行動。「分析」とは、その「貫通行動」の中でその「役」が置かれている状況を分析し認識すること。</w:t>
      </w:r>
      <w:r>
        <w:br/>
      </w:r>
      <w:r>
        <w:rPr>
          <w:rFonts w:hint="eastAsia"/>
        </w:rPr>
        <w:t xml:space="preserve">　</w:t>
      </w:r>
      <w:r>
        <w:t>鎌田東二の「超課題」は「楽しい世直し」、「貫通行動」は科研：身心変容技法研究会や</w:t>
      </w:r>
      <w:r>
        <w:t>NPO</w:t>
      </w:r>
      <w:r>
        <w:t>法人東京自由大学や京都伝統文化の森推進協議会などの活動を貫き串刺しする「創造性の渙発」、「分析」はその一つ一つの具体的な位置やはたらきや効果・影響など。</w:t>
      </w:r>
      <w:r>
        <w:br/>
      </w:r>
      <w:r>
        <w:rPr>
          <w:rFonts w:hint="eastAsia"/>
        </w:rPr>
        <w:t xml:space="preserve">　</w:t>
      </w:r>
      <w:r>
        <w:t>スタニスラフスキーは、俳優育成のために明確なカリキュラムとメソッドを作ったが、その後のロシアの演劇大学は</w:t>
      </w:r>
      <w:r>
        <w:rPr>
          <w:rFonts w:hint="eastAsia"/>
        </w:rPr>
        <w:t>、</w:t>
      </w:r>
      <w:r>
        <w:rPr>
          <w:rFonts w:ascii="ＭＳ 明朝" w:eastAsia="ＭＳ 明朝" w:hAnsi="ＭＳ 明朝" w:cs="ＭＳ 明朝" w:hint="eastAsia"/>
        </w:rPr>
        <w:t>①俳</w:t>
      </w:r>
      <w:r>
        <w:t>優術</w:t>
      </w:r>
      <w:r>
        <w:rPr>
          <w:rFonts w:hint="eastAsia"/>
        </w:rPr>
        <w:t>、</w:t>
      </w:r>
      <w:r>
        <w:rPr>
          <w:rFonts w:ascii="ＭＳ 明朝" w:eastAsia="ＭＳ 明朝" w:hAnsi="ＭＳ 明朝" w:cs="ＭＳ 明朝" w:hint="eastAsia"/>
        </w:rPr>
        <w:t>②</w:t>
      </w:r>
      <w:r>
        <w:t>戯曲分析</w:t>
      </w:r>
      <w:r>
        <w:rPr>
          <w:rFonts w:hint="eastAsia"/>
        </w:rPr>
        <w:t>、</w:t>
      </w:r>
      <w:r>
        <w:rPr>
          <w:rFonts w:ascii="ＭＳ 明朝" w:eastAsia="ＭＳ 明朝" w:hAnsi="ＭＳ 明朝" w:cs="ＭＳ 明朝" w:hint="eastAsia"/>
        </w:rPr>
        <w:t>③</w:t>
      </w:r>
      <w:r>
        <w:t>話法（発声法・滑舌・ヴォイストレーニング）</w:t>
      </w:r>
      <w:r>
        <w:rPr>
          <w:rFonts w:hint="eastAsia"/>
        </w:rPr>
        <w:t>、</w:t>
      </w:r>
      <w:r>
        <w:rPr>
          <w:rFonts w:ascii="ＭＳ 明朝" w:eastAsia="ＭＳ 明朝" w:hAnsi="ＭＳ 明朝" w:cs="ＭＳ 明朝" w:hint="eastAsia"/>
        </w:rPr>
        <w:t>④</w:t>
      </w:r>
      <w:r>
        <w:t>ステージ・ムーブメント</w:t>
      </w:r>
      <w:r>
        <w:rPr>
          <w:rFonts w:hint="eastAsia"/>
        </w:rPr>
        <w:t>、</w:t>
      </w:r>
      <w:r>
        <w:rPr>
          <w:rFonts w:ascii="ＭＳ 明朝" w:eastAsia="ＭＳ 明朝" w:hAnsi="ＭＳ 明朝" w:cs="ＭＳ 明朝" w:hint="eastAsia"/>
        </w:rPr>
        <w:t>⑤</w:t>
      </w:r>
      <w:r>
        <w:t>ダンス</w:t>
      </w:r>
      <w:r>
        <w:rPr>
          <w:rFonts w:hint="eastAsia"/>
        </w:rPr>
        <w:t>、</w:t>
      </w:r>
      <w:r>
        <w:rPr>
          <w:rFonts w:ascii="ＭＳ 明朝" w:eastAsia="ＭＳ 明朝" w:hAnsi="ＭＳ 明朝" w:cs="ＭＳ 明朝" w:hint="eastAsia"/>
        </w:rPr>
        <w:t>⑥</w:t>
      </w:r>
      <w:r>
        <w:t>声楽</w:t>
      </w:r>
      <w:r>
        <w:rPr>
          <w:rFonts w:hint="eastAsia"/>
        </w:rPr>
        <w:t>、</w:t>
      </w:r>
      <w:r>
        <w:rPr>
          <w:rFonts w:ascii="ＭＳ 明朝" w:eastAsia="ＭＳ 明朝" w:hAnsi="ＭＳ 明朝" w:cs="ＭＳ 明朝" w:hint="eastAsia"/>
        </w:rPr>
        <w:t>⑦</w:t>
      </w:r>
      <w:r>
        <w:t>哲学・心理学</w:t>
      </w:r>
      <w:r>
        <w:rPr>
          <w:rFonts w:hint="eastAsia"/>
        </w:rPr>
        <w:t>、</w:t>
      </w:r>
      <w:r>
        <w:rPr>
          <w:rFonts w:ascii="ＭＳ 明朝" w:eastAsia="ＭＳ 明朝" w:hAnsi="ＭＳ 明朝" w:cs="ＭＳ 明朝" w:hint="eastAsia"/>
        </w:rPr>
        <w:t>⑧</w:t>
      </w:r>
      <w:r>
        <w:t>演劇史</w:t>
      </w:r>
      <w:r>
        <w:rPr>
          <w:rFonts w:hint="eastAsia"/>
        </w:rPr>
        <w:t>、</w:t>
      </w:r>
      <w:r>
        <w:rPr>
          <w:rFonts w:ascii="ＭＳ 明朝" w:eastAsia="ＭＳ 明朝" w:hAnsi="ＭＳ 明朝" w:cs="ＭＳ 明朝" w:hint="eastAsia"/>
        </w:rPr>
        <w:t>⑨</w:t>
      </w:r>
      <w:r>
        <w:t>メイク術</w:t>
      </w:r>
      <w:r>
        <w:rPr>
          <w:rFonts w:hint="eastAsia"/>
        </w:rPr>
        <w:t>、</w:t>
      </w:r>
      <w:r>
        <w:rPr>
          <w:rFonts w:ascii="ＭＳ 明朝" w:eastAsia="ＭＳ 明朝" w:hAnsi="ＭＳ 明朝" w:cs="ＭＳ 明朝" w:hint="eastAsia"/>
        </w:rPr>
        <w:t>⑩</w:t>
      </w:r>
      <w:r>
        <w:t>殺陣（フェンシング）</w:t>
      </w:r>
      <w:r>
        <w:rPr>
          <w:rFonts w:hint="eastAsia"/>
        </w:rPr>
        <w:t>、</w:t>
      </w:r>
      <w:r>
        <w:rPr>
          <w:rFonts w:ascii="ＭＳ 明朝" w:eastAsia="ＭＳ 明朝" w:hAnsi="ＭＳ 明朝" w:cs="ＭＳ 明朝" w:hint="eastAsia"/>
        </w:rPr>
        <w:t>⑪</w:t>
      </w:r>
      <w:r>
        <w:t>アクロバット</w:t>
      </w:r>
      <w:r>
        <w:rPr>
          <w:rFonts w:hint="eastAsia"/>
        </w:rPr>
        <w:t>などに</w:t>
      </w:r>
      <w:r>
        <w:t>カリキュラム化して指導している。</w:t>
      </w:r>
    </w:p>
    <w:p w:rsidR="00450F9B" w:rsidRDefault="00450F9B" w:rsidP="00450F9B">
      <w:pPr>
        <w:ind w:firstLineChars="100" w:firstLine="210"/>
      </w:pPr>
      <w:r>
        <w:t>スタニスラフスキー</w:t>
      </w:r>
      <w:r>
        <w:rPr>
          <w:rFonts w:hint="eastAsia"/>
        </w:rPr>
        <w:t>はまた、</w:t>
      </w:r>
      <w:r w:rsidR="00CD5A92">
        <w:t>ブラヴァツキーの神智学やルドルフ・シュタイナーの人智学に大変興味を持ってかなり読んでいた。リアリズム演劇の裏に神秘主義思想と神秘主義芸術感が蠢いている。セルゲイ・チェルカッスキーの『スタニスラフスキーとヨーガ』（堀江新二訳、未来社、</w:t>
      </w:r>
      <w:r w:rsidR="00CD5A92">
        <w:t>2015</w:t>
      </w:r>
      <w:r w:rsidR="00CD5A92">
        <w:t>年）には、</w:t>
      </w:r>
      <w:r w:rsidR="00CD5A92">
        <w:t>1910</w:t>
      </w:r>
      <w:r w:rsidR="00CD5A92">
        <w:t>年代にスタニスラフスキーがヨーガと出会</w:t>
      </w:r>
      <w:r>
        <w:t>い、「プラーナ」というヨーガ用語を使って俳優指導をしていたと</w:t>
      </w:r>
      <w:r>
        <w:rPr>
          <w:rFonts w:hint="eastAsia"/>
        </w:rPr>
        <w:t>指摘されている</w:t>
      </w:r>
      <w:r w:rsidR="00CD5A92">
        <w:t>。</w:t>
      </w:r>
      <w:r w:rsidR="00CD5A92">
        <w:br/>
      </w:r>
      <w:r>
        <w:rPr>
          <w:rFonts w:hint="eastAsia"/>
        </w:rPr>
        <w:t xml:space="preserve">　</w:t>
      </w:r>
      <w:r w:rsidR="00CD5A92">
        <w:t>アニシモフは、「情緒」ではなく、「感情」をはたらかせよと迫る。「感情」は「心の栄養」になるが、しかし、「情緒＝エモーション」は有害にはたらく。現代社会のような文明生活では、深い「心の栄養」としての「感情」をはたらかせることは稀れで、慌ただしい日常生活の中で「情緒」の波に溺れている。その「情緒」が深い「感情」を封印し、破壊している。それが今日の「こころの問題」である。</w:t>
      </w:r>
    </w:p>
    <w:p w:rsidR="00450F9B" w:rsidRDefault="00CD5A92" w:rsidP="00450F9B">
      <w:pPr>
        <w:ind w:firstLineChars="100" w:firstLine="210"/>
      </w:pPr>
      <w:r>
        <w:t>したがって、現代社会における真の「こころのケア」とは、「情緒」を離れて「感情」をはたらかせる身心変容技法が必要になるということだ。アニシモフの提唱する「スタニスラフスキーへの道」とは、そのような「心</w:t>
      </w:r>
      <w:r>
        <w:lastRenderedPageBreak/>
        <w:t>の栄養」としての「感情」の深みとそのはたらきに到達することである。そして、芸術家の使命とはその「感情」を呼び覚ますことにあるという。そうした「感情」に訴えかける芸術をクリエイトしていく人間が必要としているとアニシモフは主張する。</w:t>
      </w:r>
    </w:p>
    <w:p w:rsidR="00450F9B" w:rsidRDefault="00450F9B" w:rsidP="00450F9B">
      <w:pPr>
        <w:ind w:firstLineChars="100" w:firstLine="210"/>
      </w:pPr>
      <w:r>
        <w:rPr>
          <w:rFonts w:hint="eastAsia"/>
        </w:rPr>
        <w:t>9</w:t>
      </w:r>
      <w:r>
        <w:rPr>
          <w:rFonts w:hint="eastAsia"/>
        </w:rPr>
        <w:t>月</w:t>
      </w:r>
      <w:r w:rsidR="00CD5A92">
        <w:t>21</w:t>
      </w:r>
      <w:r w:rsidR="00CD5A92">
        <w:t>日の夜</w:t>
      </w:r>
      <w:r w:rsidR="00CD5A92">
        <w:t>18</w:t>
      </w:r>
      <w:r>
        <w:t>時からアニシモフ演出による『白痴』が上演された。休憩を挟み</w:t>
      </w:r>
      <w:r w:rsidR="00CD5A92">
        <w:t>3</w:t>
      </w:r>
      <w:r>
        <w:t>時間余。もっとも弱いがもっとも美しい「ドン・キホーテ」のような</w:t>
      </w:r>
      <w:r w:rsidR="00CD5A92">
        <w:t>「キリスト」のようなムイシュキン像の存在を浮かび上がらせる。儚く、弱々しく、無垢で、純真な魂。ムイシュキン公爵。ドストエフスキーはその「美しい」無力極まりない人間を描いた。そのムイシュキンを複式夢幻能のように、アニシモフは演出した。</w:t>
      </w:r>
    </w:p>
    <w:p w:rsidR="00450F9B" w:rsidRDefault="00CD5A92" w:rsidP="00450F9B">
      <w:pPr>
        <w:ind w:firstLineChars="100" w:firstLine="210"/>
      </w:pPr>
      <w:r>
        <w:t>能のようなドストエフスキーの「白痴」。ミステリー（推理劇）とミステリアス（神秘劇）が溶け合ったような演劇。繊細微妙な心理劇。ベンチで寝ているムイシュキン後者の背後からアグラーヤとナスターシャが現われて最後の言葉を発するところなどは鬼気迫る複式夢幻能の世界を髣髴させた。</w:t>
      </w:r>
    </w:p>
    <w:p w:rsidR="00C55C93" w:rsidRDefault="00CD5A92" w:rsidP="00450F9B">
      <w:pPr>
        <w:ind w:firstLineChars="100" w:firstLine="210"/>
      </w:pPr>
      <w:r>
        <w:t>荒魂ロゴージンと和魂ムイシュキン。</w:t>
      </w:r>
      <w:r>
        <w:t>2</w:t>
      </w:r>
      <w:r>
        <w:t>人スサノヲのようなロゴージンとムイシュキンは、無垢と残虐の権化。まさに、スサノヲぶりである。そこに、荒魂ナスターシャと和魂アグラーヤが絡むのだが、これまた複雑骨折するような錯綜の末に誰もが「幸福」にはなれない。悲劇と悲惨の極みに落ち込んでいく関係性。純粋ゆえの破壊の末路というのもありふれた結末だが、このロゴージンとムイシュキンが『カラマーゾフの兄弟』のドミートリー（ミーチャ）とアレクセイ（アリョーシャ）につながり、その間をさらに「複雑骨折」させていくイワン（ワーニャ）とスメルジャコフの</w:t>
      </w:r>
      <w:r w:rsidR="00450F9B">
        <w:rPr>
          <w:rFonts w:hint="eastAsia"/>
        </w:rPr>
        <w:t>魔。</w:t>
      </w:r>
      <w:r>
        <w:t>ドストエフスキー</w:t>
      </w:r>
      <w:r w:rsidR="00450F9B">
        <w:rPr>
          <w:rFonts w:hint="eastAsia"/>
        </w:rPr>
        <w:t>は</w:t>
      </w:r>
      <w:r w:rsidR="00450F9B">
        <w:t>人間の「情緒」と「感情」の軋轢と深みを徹底して暴いてみせる</w:t>
      </w:r>
      <w:r w:rsidR="00450F9B">
        <w:rPr>
          <w:rFonts w:hint="eastAsia"/>
        </w:rPr>
        <w:t>。</w:t>
      </w:r>
    </w:p>
    <w:p w:rsidR="00450F9B" w:rsidRPr="00F41ED2" w:rsidRDefault="00F41ED2" w:rsidP="00F41ED2">
      <w:pPr>
        <w:rPr>
          <w:rFonts w:ascii="HGPｺﾞｼｯｸE" w:eastAsia="HGPｺﾞｼｯｸE" w:hAnsi="HGPｺﾞｼｯｸE"/>
        </w:rPr>
      </w:pPr>
      <w:r w:rsidRPr="00F41ED2">
        <w:rPr>
          <w:rFonts w:ascii="HGPｺﾞｼｯｸE" w:eastAsia="HGPｺﾞｼｯｸE" w:hAnsi="HGPｺﾞｼｯｸE" w:hint="eastAsia"/>
        </w:rPr>
        <w:t>上世博及氏による9月23日（金）「古事記」上演報告</w:t>
      </w:r>
    </w:p>
    <w:p w:rsidR="00F41ED2" w:rsidRPr="00F41ED2" w:rsidRDefault="00F41ED2" w:rsidP="00F41ED2">
      <w:pPr>
        <w:ind w:firstLineChars="100" w:firstLine="180"/>
        <w:rPr>
          <w:rFonts w:asciiTheme="minorEastAsia" w:hAnsiTheme="minorEastAsia"/>
          <w:sz w:val="18"/>
          <w:szCs w:val="18"/>
        </w:rPr>
      </w:pPr>
      <w:r w:rsidRPr="00F41ED2">
        <w:rPr>
          <w:rFonts w:asciiTheme="minorEastAsia" w:hAnsiTheme="minorEastAsia" w:hint="eastAsia"/>
          <w:sz w:val="18"/>
          <w:szCs w:val="18"/>
        </w:rPr>
        <w:t>（500席の）会場はほぼ満席でした。公演では字幕は使用せず、配布したロシア語パンフレットにあらすじを記載し、公演中、場面の切り替わりのところで通訳の遠坂先生が場内アナウンスのマイクで詩を朗読するようにそのシーンの意味を観客に伝える形で上演しました。</w:t>
      </w:r>
    </w:p>
    <w:p w:rsidR="00F41ED2" w:rsidRPr="00F41ED2" w:rsidRDefault="00F41ED2" w:rsidP="00F41ED2">
      <w:pPr>
        <w:ind w:firstLineChars="100" w:firstLine="180"/>
        <w:rPr>
          <w:rFonts w:asciiTheme="minorEastAsia" w:hAnsiTheme="minorEastAsia"/>
          <w:sz w:val="18"/>
          <w:szCs w:val="18"/>
        </w:rPr>
      </w:pPr>
      <w:r w:rsidRPr="00F41ED2">
        <w:rPr>
          <w:rFonts w:asciiTheme="minorEastAsia" w:hAnsiTheme="minorEastAsia" w:hint="eastAsia"/>
          <w:sz w:val="18"/>
          <w:szCs w:val="18"/>
        </w:rPr>
        <w:t>私のロシア留学時代のロシア人同級生の感想を元に公演中の様子を描きますと、１幕は、ロシア人には全く馴染みのないゆっくりとしたメロディー、歌、音、そしてほとんど動かない俳優たちに相当戸惑ったようです。ですが、客席全体が一体となって、その初めて体験する世界を何とか理解し、感じ取ろうと集中して観ていました。</w:t>
      </w:r>
    </w:p>
    <w:p w:rsidR="00F41ED2" w:rsidRPr="00F41ED2" w:rsidRDefault="00F41ED2" w:rsidP="00F41ED2">
      <w:pPr>
        <w:ind w:firstLineChars="100" w:firstLine="180"/>
        <w:rPr>
          <w:rFonts w:asciiTheme="minorEastAsia" w:hAnsiTheme="minorEastAsia"/>
          <w:sz w:val="18"/>
          <w:szCs w:val="18"/>
        </w:rPr>
      </w:pPr>
      <w:r w:rsidRPr="00F41ED2">
        <w:rPr>
          <w:rFonts w:asciiTheme="minorEastAsia" w:hAnsiTheme="minorEastAsia" w:hint="eastAsia"/>
          <w:sz w:val="18"/>
          <w:szCs w:val="18"/>
        </w:rPr>
        <w:t>結局何もわからないまま一幕が終了し、休憩に入りましたが、この休憩が１幕で観たもの、体験したものをそれぞれが咀嚼し理解する時間になったようで、２幕を見るにあたり意識の調律ができたそうです。</w:t>
      </w:r>
    </w:p>
    <w:p w:rsidR="00F41ED2" w:rsidRPr="00F41ED2" w:rsidRDefault="00F41ED2" w:rsidP="00F41ED2">
      <w:pPr>
        <w:ind w:firstLineChars="100" w:firstLine="180"/>
        <w:rPr>
          <w:rFonts w:asciiTheme="minorEastAsia" w:hAnsiTheme="minorEastAsia"/>
          <w:sz w:val="18"/>
          <w:szCs w:val="18"/>
        </w:rPr>
      </w:pPr>
      <w:r w:rsidRPr="00F41ED2">
        <w:rPr>
          <w:rFonts w:asciiTheme="minorEastAsia" w:hAnsiTheme="minorEastAsia" w:hint="eastAsia"/>
          <w:sz w:val="18"/>
          <w:szCs w:val="18"/>
        </w:rPr>
        <w:t>そして２幕、イザナギが黄泉の国へイザナミに会いに行くシーンから始まりますが、もうそこでは一気に舞台で繰り広げられる日本神話の世界に入り込み、舞台、客席が一つのエネルギー体となって一緒に神聖な儀式に参加し、言葉は分からないのにすべて心で理解し感じ取れる、不思議ながらも非常に心地よい神秘体験をしたそうです。終演後はブラボーの掛け声もあり、スタンディングオベーションで拍手喝采を受けました。</w:t>
      </w:r>
    </w:p>
    <w:p w:rsidR="00F41ED2" w:rsidRPr="00F41ED2" w:rsidRDefault="00F41ED2" w:rsidP="00F41ED2">
      <w:pPr>
        <w:rPr>
          <w:rFonts w:asciiTheme="minorEastAsia" w:hAnsiTheme="minorEastAsia"/>
          <w:sz w:val="18"/>
          <w:szCs w:val="18"/>
        </w:rPr>
      </w:pPr>
      <w:r w:rsidRPr="00F41ED2">
        <w:rPr>
          <w:rFonts w:asciiTheme="minorEastAsia" w:hAnsiTheme="minorEastAsia" w:hint="eastAsia"/>
          <w:sz w:val="18"/>
          <w:szCs w:val="18"/>
        </w:rPr>
        <w:t> 翌日に創造的交流会があり、東京ノーヴイから俳優が１０人、ロシア側から俳優や演出家のほかに、ジャーナリスト、心理学者、教育者など２０名ほどで感想のシェア、我々の創造活動についての意見交換などが3時間ほどありました。</w:t>
      </w:r>
    </w:p>
    <w:p w:rsidR="00F41ED2" w:rsidRPr="00F41ED2" w:rsidRDefault="00F41ED2" w:rsidP="00F41ED2">
      <w:pPr>
        <w:rPr>
          <w:rFonts w:asciiTheme="minorEastAsia" w:hAnsiTheme="minorEastAsia"/>
          <w:sz w:val="18"/>
          <w:szCs w:val="18"/>
        </w:rPr>
      </w:pPr>
      <w:r w:rsidRPr="00F41ED2">
        <w:rPr>
          <w:rFonts w:asciiTheme="minorEastAsia" w:hAnsiTheme="minorEastAsia" w:cs="Arial"/>
          <w:color w:val="1F497D"/>
          <w:sz w:val="18"/>
          <w:szCs w:val="18"/>
        </w:rPr>
        <w:t> </w:t>
      </w:r>
      <w:r w:rsidRPr="00F41ED2">
        <w:rPr>
          <w:rFonts w:asciiTheme="minorEastAsia" w:hAnsiTheme="minorEastAsia" w:hint="eastAsia"/>
          <w:sz w:val="18"/>
          <w:szCs w:val="18"/>
        </w:rPr>
        <w:t>ロシア人たちの共通した意見としては、言葉では伝えられない人類共通の叡智を体験し、非常に高度な精神世界に導かれ、自然、宇宙、神をこれほど感じることができる舞台作品は過去にはなかったであろう。俳優がその世界を創り出すのに全身全霊を捧げ、芸術に奉仕している演劇集団もいまやどこにもない。言葉の壁を完全に超越した人類共通の世界を描いている。</w:t>
      </w:r>
    </w:p>
    <w:p w:rsidR="00F41ED2" w:rsidRDefault="00F41ED2" w:rsidP="00F41ED2">
      <w:pPr>
        <w:ind w:firstLineChars="100" w:firstLine="180"/>
        <w:rPr>
          <w:rFonts w:asciiTheme="minorEastAsia" w:hAnsiTheme="minorEastAsia" w:hint="eastAsia"/>
          <w:sz w:val="18"/>
          <w:szCs w:val="18"/>
        </w:rPr>
      </w:pPr>
      <w:r w:rsidRPr="00F41ED2">
        <w:rPr>
          <w:rFonts w:asciiTheme="minorEastAsia" w:hAnsiTheme="minorEastAsia" w:hint="eastAsia"/>
          <w:sz w:val="18"/>
          <w:szCs w:val="18"/>
        </w:rPr>
        <w:t>40年前にアニシモフが初めて旗揚げしたロシアの劇団で共に演劇活動をしていた女優は、当時目指していた人の心、魂、精神にまで「魔法をかける演劇」が、40年かけてついに日本の俳優たちによって実現した言っておりました。どのようにして、あのような世界を作り上げたのか、そこに至るまで東京でアニシモフ氏と共にどのような活動をしていたのかなどの質疑に劇団の俳優たちが応答しましたが、とにかく3時間の交流会がロシア側からの賛辞の嵐で、我々も本当に嬉しい限りでした。また、是非モスクワで再演をして欲しい、ロシア中で公演をして欲しいとの声もいただきました。</w:t>
      </w:r>
    </w:p>
    <w:p w:rsidR="008C4E5B" w:rsidRDefault="008C4E5B" w:rsidP="008C4E5B">
      <w:pPr>
        <w:rPr>
          <w:rFonts w:asciiTheme="minorEastAsia" w:hAnsiTheme="minorEastAsia" w:hint="eastAsia"/>
          <w:sz w:val="18"/>
          <w:szCs w:val="18"/>
        </w:rPr>
      </w:pPr>
      <w:r>
        <w:rPr>
          <w:rFonts w:asciiTheme="minorEastAsia" w:hAnsiTheme="minorEastAsia" w:hint="eastAsia"/>
          <w:noProof/>
          <w:sz w:val="18"/>
          <w:szCs w:val="18"/>
        </w:rPr>
        <w:drawing>
          <wp:inline distT="0" distB="0" distL="0" distR="0">
            <wp:extent cx="6645910" cy="8015990"/>
            <wp:effectExtent l="0" t="0" r="2540" b="444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5910" cy="8015990"/>
                    </a:xfrm>
                    <a:prstGeom prst="rect">
                      <a:avLst/>
                    </a:prstGeom>
                    <a:noFill/>
                    <a:ln>
                      <a:noFill/>
                    </a:ln>
                  </pic:spPr>
                </pic:pic>
              </a:graphicData>
            </a:graphic>
          </wp:inline>
        </w:drawing>
      </w:r>
    </w:p>
    <w:p w:rsidR="008C4E5B" w:rsidRPr="008C4E5B" w:rsidRDefault="008C4E5B" w:rsidP="008C4E5B">
      <w:pPr>
        <w:pStyle w:val="a9"/>
        <w:ind w:firstLineChars="1400" w:firstLine="2940"/>
        <w:rPr>
          <w:rFonts w:hAnsi="ＭＳ 明朝"/>
        </w:rPr>
      </w:pPr>
      <w:r w:rsidRPr="008C4E5B">
        <w:rPr>
          <w:rFonts w:hAnsi="ＭＳ 明朝" w:hint="eastAsia"/>
        </w:rPr>
        <w:t>徳島新聞2016年9月1日付け朝刊文化欄記事</w:t>
      </w:r>
    </w:p>
    <w:p w:rsidR="008C4E5B" w:rsidRPr="008C4E5B" w:rsidRDefault="008C4E5B" w:rsidP="008C4E5B">
      <w:pPr>
        <w:rPr>
          <w:rFonts w:asciiTheme="minorEastAsia" w:hAnsiTheme="minorEastAsia" w:hint="eastAsia"/>
          <w:szCs w:val="21"/>
        </w:rPr>
      </w:pPr>
    </w:p>
    <w:p w:rsidR="008C4E5B" w:rsidRPr="00F41ED2" w:rsidRDefault="008C4E5B" w:rsidP="008C4E5B">
      <w:pPr>
        <w:rPr>
          <w:rFonts w:asciiTheme="minorEastAsia" w:hAnsiTheme="minorEastAsia"/>
          <w:sz w:val="18"/>
          <w:szCs w:val="18"/>
        </w:rPr>
      </w:pPr>
      <w:bookmarkStart w:id="0" w:name="_GoBack"/>
      <w:r>
        <w:rPr>
          <w:rFonts w:asciiTheme="minorEastAsia" w:hAnsiTheme="minorEastAsia"/>
          <w:noProof/>
          <w:sz w:val="18"/>
          <w:szCs w:val="18"/>
        </w:rPr>
        <w:drawing>
          <wp:inline distT="0" distB="0" distL="0" distR="0">
            <wp:extent cx="9180983" cy="6531229"/>
            <wp:effectExtent l="0" t="8573"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9188959" cy="6536903"/>
                    </a:xfrm>
                    <a:prstGeom prst="rect">
                      <a:avLst/>
                    </a:prstGeom>
                    <a:noFill/>
                    <a:ln>
                      <a:noFill/>
                    </a:ln>
                  </pic:spPr>
                </pic:pic>
              </a:graphicData>
            </a:graphic>
          </wp:inline>
        </w:drawing>
      </w:r>
      <w:bookmarkEnd w:id="0"/>
    </w:p>
    <w:sectPr w:rsidR="008C4E5B" w:rsidRPr="00F41ED2" w:rsidSect="00C55C93">
      <w:footerReference w:type="default" r:id="rId10"/>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101C" w:rsidRDefault="00A5101C" w:rsidP="00F41ED2">
      <w:r>
        <w:separator/>
      </w:r>
    </w:p>
  </w:endnote>
  <w:endnote w:type="continuationSeparator" w:id="0">
    <w:p w:rsidR="00A5101C" w:rsidRDefault="00A5101C" w:rsidP="00F41E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HGPｺﾞｼｯｸE">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3581837"/>
      <w:docPartObj>
        <w:docPartGallery w:val="Page Numbers (Bottom of Page)"/>
        <w:docPartUnique/>
      </w:docPartObj>
    </w:sdtPr>
    <w:sdtEndPr/>
    <w:sdtContent>
      <w:p w:rsidR="00F41ED2" w:rsidRDefault="00F41ED2">
        <w:pPr>
          <w:pStyle w:val="a7"/>
          <w:jc w:val="center"/>
        </w:pPr>
        <w:r>
          <w:fldChar w:fldCharType="begin"/>
        </w:r>
        <w:r>
          <w:instrText>PAGE   \* MERGEFORMAT</w:instrText>
        </w:r>
        <w:r>
          <w:fldChar w:fldCharType="separate"/>
        </w:r>
        <w:r w:rsidR="00A5101C" w:rsidRPr="00A5101C">
          <w:rPr>
            <w:noProof/>
            <w:lang w:val="ja-JP"/>
          </w:rPr>
          <w:t>1</w:t>
        </w:r>
        <w:r>
          <w:fldChar w:fldCharType="end"/>
        </w:r>
      </w:p>
    </w:sdtContent>
  </w:sdt>
  <w:p w:rsidR="00F41ED2" w:rsidRDefault="00F41ED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101C" w:rsidRDefault="00A5101C" w:rsidP="00F41ED2">
      <w:r>
        <w:separator/>
      </w:r>
    </w:p>
  </w:footnote>
  <w:footnote w:type="continuationSeparator" w:id="0">
    <w:p w:rsidR="00A5101C" w:rsidRDefault="00A5101C" w:rsidP="00F41ED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840"/>
  <w:drawingGridHorizontalSpacing w:val="105"/>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5C93"/>
    <w:rsid w:val="00450F9B"/>
    <w:rsid w:val="005C669C"/>
    <w:rsid w:val="008C4E5B"/>
    <w:rsid w:val="00A5101C"/>
    <w:rsid w:val="00B4660B"/>
    <w:rsid w:val="00C55C93"/>
    <w:rsid w:val="00CD5A92"/>
    <w:rsid w:val="00CE5C6C"/>
    <w:rsid w:val="00F41ED2"/>
    <w:rsid w:val="00F661DF"/>
    <w:rsid w:val="00F974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D5A92"/>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CD5A92"/>
    <w:rPr>
      <w:rFonts w:asciiTheme="majorHAnsi" w:eastAsiaTheme="majorEastAsia" w:hAnsiTheme="majorHAnsi" w:cstheme="majorBidi"/>
      <w:sz w:val="18"/>
      <w:szCs w:val="18"/>
    </w:rPr>
  </w:style>
  <w:style w:type="paragraph" w:styleId="a5">
    <w:name w:val="header"/>
    <w:basedOn w:val="a"/>
    <w:link w:val="a6"/>
    <w:uiPriority w:val="99"/>
    <w:unhideWhenUsed/>
    <w:rsid w:val="00F41ED2"/>
    <w:pPr>
      <w:tabs>
        <w:tab w:val="center" w:pos="4252"/>
        <w:tab w:val="right" w:pos="8504"/>
      </w:tabs>
      <w:snapToGrid w:val="0"/>
    </w:pPr>
  </w:style>
  <w:style w:type="character" w:customStyle="1" w:styleId="a6">
    <w:name w:val="ヘッダー (文字)"/>
    <w:basedOn w:val="a0"/>
    <w:link w:val="a5"/>
    <w:uiPriority w:val="99"/>
    <w:rsid w:val="00F41ED2"/>
  </w:style>
  <w:style w:type="paragraph" w:styleId="a7">
    <w:name w:val="footer"/>
    <w:basedOn w:val="a"/>
    <w:link w:val="a8"/>
    <w:uiPriority w:val="99"/>
    <w:unhideWhenUsed/>
    <w:rsid w:val="00F41ED2"/>
    <w:pPr>
      <w:tabs>
        <w:tab w:val="center" w:pos="4252"/>
        <w:tab w:val="right" w:pos="8504"/>
      </w:tabs>
      <w:snapToGrid w:val="0"/>
    </w:pPr>
  </w:style>
  <w:style w:type="character" w:customStyle="1" w:styleId="a8">
    <w:name w:val="フッター (文字)"/>
    <w:basedOn w:val="a0"/>
    <w:link w:val="a7"/>
    <w:uiPriority w:val="99"/>
    <w:rsid w:val="00F41ED2"/>
  </w:style>
  <w:style w:type="paragraph" w:styleId="a9">
    <w:name w:val="Plain Text"/>
    <w:basedOn w:val="a"/>
    <w:link w:val="aa"/>
    <w:uiPriority w:val="99"/>
    <w:rsid w:val="008C4E5B"/>
    <w:rPr>
      <w:rFonts w:ascii="ＭＳ 明朝" w:eastAsia="ＭＳ 明朝" w:hAnsi="Courier New" w:cs="Times New Roman"/>
      <w:szCs w:val="21"/>
    </w:rPr>
  </w:style>
  <w:style w:type="character" w:customStyle="1" w:styleId="aa">
    <w:name w:val="書式なし (文字)"/>
    <w:basedOn w:val="a0"/>
    <w:link w:val="a9"/>
    <w:uiPriority w:val="99"/>
    <w:rsid w:val="008C4E5B"/>
    <w:rPr>
      <w:rFonts w:ascii="ＭＳ 明朝" w:eastAsia="ＭＳ 明朝" w:hAnsi="Courier New" w:cs="Times New Roman"/>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D5A92"/>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CD5A92"/>
    <w:rPr>
      <w:rFonts w:asciiTheme="majorHAnsi" w:eastAsiaTheme="majorEastAsia" w:hAnsiTheme="majorHAnsi" w:cstheme="majorBidi"/>
      <w:sz w:val="18"/>
      <w:szCs w:val="18"/>
    </w:rPr>
  </w:style>
  <w:style w:type="paragraph" w:styleId="a5">
    <w:name w:val="header"/>
    <w:basedOn w:val="a"/>
    <w:link w:val="a6"/>
    <w:uiPriority w:val="99"/>
    <w:unhideWhenUsed/>
    <w:rsid w:val="00F41ED2"/>
    <w:pPr>
      <w:tabs>
        <w:tab w:val="center" w:pos="4252"/>
        <w:tab w:val="right" w:pos="8504"/>
      </w:tabs>
      <w:snapToGrid w:val="0"/>
    </w:pPr>
  </w:style>
  <w:style w:type="character" w:customStyle="1" w:styleId="a6">
    <w:name w:val="ヘッダー (文字)"/>
    <w:basedOn w:val="a0"/>
    <w:link w:val="a5"/>
    <w:uiPriority w:val="99"/>
    <w:rsid w:val="00F41ED2"/>
  </w:style>
  <w:style w:type="paragraph" w:styleId="a7">
    <w:name w:val="footer"/>
    <w:basedOn w:val="a"/>
    <w:link w:val="a8"/>
    <w:uiPriority w:val="99"/>
    <w:unhideWhenUsed/>
    <w:rsid w:val="00F41ED2"/>
    <w:pPr>
      <w:tabs>
        <w:tab w:val="center" w:pos="4252"/>
        <w:tab w:val="right" w:pos="8504"/>
      </w:tabs>
      <w:snapToGrid w:val="0"/>
    </w:pPr>
  </w:style>
  <w:style w:type="character" w:customStyle="1" w:styleId="a8">
    <w:name w:val="フッター (文字)"/>
    <w:basedOn w:val="a0"/>
    <w:link w:val="a7"/>
    <w:uiPriority w:val="99"/>
    <w:rsid w:val="00F41ED2"/>
  </w:style>
  <w:style w:type="paragraph" w:styleId="a9">
    <w:name w:val="Plain Text"/>
    <w:basedOn w:val="a"/>
    <w:link w:val="aa"/>
    <w:uiPriority w:val="99"/>
    <w:rsid w:val="008C4E5B"/>
    <w:rPr>
      <w:rFonts w:ascii="ＭＳ 明朝" w:eastAsia="ＭＳ 明朝" w:hAnsi="Courier New" w:cs="Times New Roman"/>
      <w:szCs w:val="21"/>
    </w:rPr>
  </w:style>
  <w:style w:type="character" w:customStyle="1" w:styleId="aa">
    <w:name w:val="書式なし (文字)"/>
    <w:basedOn w:val="a0"/>
    <w:link w:val="a9"/>
    <w:uiPriority w:val="99"/>
    <w:rsid w:val="008C4E5B"/>
    <w:rPr>
      <w:rFonts w:ascii="ＭＳ 明朝" w:eastAsia="ＭＳ 明朝" w:hAnsi="Courier New" w:cs="Times New Roman"/>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5212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6B47C3-BCFC-4249-ACE5-723AB0C01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Pages>
  <Words>512</Words>
  <Characters>2923</Characters>
  <Application>Microsoft Office Word</Application>
  <DocSecurity>0</DocSecurity>
  <Lines>24</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鎌田東二</dc:creator>
  <cp:lastModifiedBy>鎌田東二</cp:lastModifiedBy>
  <cp:revision>6</cp:revision>
  <dcterms:created xsi:type="dcterms:W3CDTF">2016-09-25T16:25:00Z</dcterms:created>
  <dcterms:modified xsi:type="dcterms:W3CDTF">2016-09-25T17:12:00Z</dcterms:modified>
</cp:coreProperties>
</file>